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Times New Roman" w:hAnsi="Times New Roman" w:eastAsia="方正小标宋_GBK" w:cs="Times New Roman"/>
          <w:kern w:val="0"/>
          <w:sz w:val="44"/>
          <w:szCs w:val="44"/>
          <w:lang w:eastAsia="zh-CN"/>
        </w:rPr>
      </w:pPr>
      <w:r>
        <w:rPr>
          <w:rFonts w:hint="default" w:ascii="Times New Roman" w:hAnsi="Times New Roman" w:eastAsia="方正小标宋_GBK" w:cs="Times New Roman"/>
          <w:kern w:val="0"/>
          <w:sz w:val="44"/>
          <w:szCs w:val="44"/>
        </w:rPr>
        <w:t>201</w:t>
      </w:r>
      <w:r>
        <w:rPr>
          <w:rFonts w:hint="default" w:ascii="Times New Roman" w:hAnsi="Times New Roman" w:eastAsia="方正小标宋_GBK" w:cs="Times New Roman"/>
          <w:kern w:val="0"/>
          <w:sz w:val="44"/>
          <w:szCs w:val="44"/>
          <w:lang w:val="en-US" w:eastAsia="zh-CN"/>
        </w:rPr>
        <w:t>9</w:t>
      </w:r>
      <w:r>
        <w:rPr>
          <w:rFonts w:hint="default" w:ascii="Times New Roman" w:hAnsi="Times New Roman" w:eastAsia="方正小标宋_GBK" w:cs="Times New Roman"/>
          <w:kern w:val="0"/>
          <w:sz w:val="44"/>
          <w:szCs w:val="44"/>
        </w:rPr>
        <w:t>年度</w:t>
      </w:r>
      <w:r>
        <w:rPr>
          <w:rFonts w:hint="eastAsia" w:ascii="Times New Roman" w:hAnsi="Times New Roman" w:eastAsia="方正小标宋_GBK" w:cs="Times New Roman"/>
          <w:kern w:val="0"/>
          <w:sz w:val="44"/>
          <w:szCs w:val="44"/>
          <w:lang w:eastAsia="zh-CN"/>
        </w:rPr>
        <w:t>市委党史研究室</w:t>
      </w:r>
    </w:p>
    <w:p>
      <w:pPr>
        <w:spacing w:line="560" w:lineRule="exact"/>
        <w:jc w:val="center"/>
        <w:rPr>
          <w:rFonts w:hint="default" w:ascii="Times New Roman" w:hAnsi="Times New Roman" w:eastAsia="方正小标宋_GBK" w:cs="Times New Roman"/>
          <w:kern w:val="0"/>
          <w:sz w:val="44"/>
          <w:szCs w:val="44"/>
        </w:rPr>
      </w:pPr>
      <w:r>
        <w:rPr>
          <w:rFonts w:hint="default" w:ascii="Times New Roman" w:hAnsi="Times New Roman" w:eastAsia="方正小标宋_GBK" w:cs="Times New Roman"/>
          <w:kern w:val="0"/>
          <w:sz w:val="44"/>
          <w:szCs w:val="44"/>
        </w:rPr>
        <w:t>整体支出绩效</w:t>
      </w:r>
      <w:r>
        <w:rPr>
          <w:rFonts w:hint="eastAsia" w:ascii="Times New Roman" w:hAnsi="Times New Roman" w:eastAsia="方正小标宋_GBK" w:cs="Times New Roman"/>
          <w:kern w:val="0"/>
          <w:sz w:val="44"/>
          <w:szCs w:val="44"/>
          <w:lang w:val="en-US" w:eastAsia="zh-CN"/>
        </w:rPr>
        <w:t>自评</w:t>
      </w:r>
      <w:r>
        <w:rPr>
          <w:rFonts w:hint="default" w:ascii="Times New Roman" w:hAnsi="Times New Roman" w:eastAsia="方正小标宋_GBK" w:cs="Times New Roman"/>
          <w:kern w:val="0"/>
          <w:sz w:val="44"/>
          <w:szCs w:val="44"/>
        </w:rPr>
        <w:t>报告</w:t>
      </w:r>
    </w:p>
    <w:p>
      <w:pPr>
        <w:widowControl/>
        <w:spacing w:line="560" w:lineRule="exact"/>
        <w:ind w:firstLine="640"/>
        <w:rPr>
          <w:rFonts w:hint="default" w:ascii="Times New Roman" w:hAnsi="Times New Roman" w:eastAsia="仿宋_GB2312" w:cs="Times New Roman"/>
          <w:color w:val="222222"/>
          <w:kern w:val="0"/>
          <w:sz w:val="32"/>
          <w:szCs w:val="32"/>
        </w:rPr>
      </w:pPr>
    </w:p>
    <w:p>
      <w:pPr>
        <w:widowControl/>
        <w:spacing w:line="560" w:lineRule="exact"/>
        <w:ind w:firstLine="640"/>
        <w:jc w:val="center"/>
        <w:rPr>
          <w:rFonts w:hint="eastAsia" w:ascii="Times New Roman" w:hAnsi="Times New Roman" w:eastAsia="仿宋_GB2312" w:cs="Times New Roman"/>
          <w:color w:val="222222"/>
          <w:kern w:val="0"/>
          <w:sz w:val="32"/>
          <w:szCs w:val="32"/>
          <w:lang w:eastAsia="zh-CN"/>
        </w:rPr>
      </w:pPr>
      <w:r>
        <w:rPr>
          <w:rFonts w:hint="eastAsia" w:ascii="Times New Roman" w:hAnsi="Times New Roman" w:eastAsia="仿宋_GB2312" w:cs="Times New Roman"/>
          <w:color w:val="222222"/>
          <w:kern w:val="0"/>
          <w:sz w:val="32"/>
          <w:szCs w:val="32"/>
          <w:lang w:eastAsia="zh-CN"/>
        </w:rPr>
        <w:t>目</w:t>
      </w:r>
      <w:r>
        <w:rPr>
          <w:rFonts w:hint="eastAsia" w:ascii="Times New Roman" w:hAnsi="Times New Roman" w:eastAsia="仿宋_GB2312" w:cs="Times New Roman"/>
          <w:color w:val="222222"/>
          <w:kern w:val="0"/>
          <w:sz w:val="32"/>
          <w:szCs w:val="32"/>
          <w:lang w:val="en-US" w:eastAsia="zh-CN"/>
        </w:rPr>
        <w:t xml:space="preserve">  </w:t>
      </w:r>
      <w:r>
        <w:rPr>
          <w:rFonts w:hint="eastAsia" w:ascii="Times New Roman" w:hAnsi="Times New Roman" w:eastAsia="仿宋_GB2312" w:cs="Times New Roman"/>
          <w:color w:val="222222"/>
          <w:kern w:val="0"/>
          <w:sz w:val="32"/>
          <w:szCs w:val="32"/>
          <w:lang w:eastAsia="zh-CN"/>
        </w:rPr>
        <w:t>录</w:t>
      </w:r>
    </w:p>
    <w:p>
      <w:pPr>
        <w:widowControl/>
        <w:spacing w:line="560" w:lineRule="exact"/>
        <w:ind w:firstLine="640"/>
        <w:rPr>
          <w:rFonts w:hint="default" w:ascii="Times New Roman" w:hAnsi="Times New Roman" w:eastAsia="黑体" w:cs="Times New Roman"/>
          <w:color w:val="222222"/>
          <w:kern w:val="0"/>
          <w:sz w:val="32"/>
          <w:szCs w:val="32"/>
        </w:rPr>
      </w:pPr>
      <w:r>
        <w:rPr>
          <w:rFonts w:hint="default" w:ascii="Times New Roman" w:hAnsi="Times New Roman" w:eastAsia="黑体" w:cs="Times New Roman"/>
          <w:color w:val="222222"/>
          <w:kern w:val="0"/>
          <w:sz w:val="32"/>
          <w:szCs w:val="32"/>
        </w:rPr>
        <w:t>一、部门概况</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（一）机构、人员构成</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（二）单位主要职责</w:t>
      </w:r>
    </w:p>
    <w:p>
      <w:pPr>
        <w:widowControl/>
        <w:spacing w:line="560" w:lineRule="exact"/>
        <w:ind w:firstLine="640"/>
        <w:rPr>
          <w:rFonts w:hint="default" w:ascii="Times New Roman" w:hAnsi="Times New Roman" w:eastAsia="黑体" w:cs="Times New Roman"/>
          <w:color w:val="222222"/>
          <w:kern w:val="0"/>
          <w:sz w:val="32"/>
          <w:szCs w:val="32"/>
        </w:rPr>
      </w:pPr>
      <w:r>
        <w:rPr>
          <w:rFonts w:hint="default" w:ascii="Times New Roman" w:hAnsi="Times New Roman" w:eastAsia="黑体" w:cs="Times New Roman"/>
          <w:color w:val="222222"/>
          <w:kern w:val="0"/>
          <w:sz w:val="32"/>
          <w:szCs w:val="32"/>
        </w:rPr>
        <w:t>二、部门财务情况</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（一）部门整体支出情况</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（二）部门预算收支决算情况</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（三） “三公经费”支出使用和管理情况</w:t>
      </w:r>
    </w:p>
    <w:p>
      <w:pPr>
        <w:widowControl/>
        <w:spacing w:line="560" w:lineRule="exact"/>
        <w:ind w:firstLine="640"/>
        <w:rPr>
          <w:rFonts w:hint="default" w:ascii="Times New Roman" w:hAnsi="Times New Roman" w:eastAsia="黑体" w:cs="Times New Roman"/>
          <w:color w:val="222222"/>
          <w:kern w:val="0"/>
          <w:sz w:val="32"/>
          <w:szCs w:val="32"/>
        </w:rPr>
      </w:pPr>
      <w:r>
        <w:rPr>
          <w:rFonts w:hint="default" w:ascii="Times New Roman" w:hAnsi="Times New Roman" w:eastAsia="黑体" w:cs="Times New Roman"/>
          <w:color w:val="222222"/>
          <w:kern w:val="0"/>
          <w:sz w:val="32"/>
          <w:szCs w:val="32"/>
        </w:rPr>
        <w:t>三、部门绩效目标</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（一）部门绩效总目标</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（二）201</w:t>
      </w:r>
      <w:r>
        <w:rPr>
          <w:rFonts w:hint="default" w:ascii="Times New Roman" w:hAnsi="Times New Roman" w:eastAsia="仿宋" w:cs="Times New Roman"/>
          <w:color w:val="222222"/>
          <w:kern w:val="0"/>
          <w:sz w:val="32"/>
          <w:szCs w:val="32"/>
          <w:lang w:val="en-US" w:eastAsia="zh-CN"/>
        </w:rPr>
        <w:t>9</w:t>
      </w:r>
      <w:r>
        <w:rPr>
          <w:rFonts w:hint="default" w:ascii="Times New Roman" w:hAnsi="Times New Roman" w:eastAsia="仿宋" w:cs="Times New Roman"/>
          <w:color w:val="222222"/>
          <w:kern w:val="0"/>
          <w:sz w:val="32"/>
          <w:szCs w:val="32"/>
        </w:rPr>
        <w:t>年度部门绩效目标</w:t>
      </w:r>
    </w:p>
    <w:p>
      <w:pPr>
        <w:widowControl/>
        <w:spacing w:line="560" w:lineRule="exact"/>
        <w:ind w:firstLine="640"/>
        <w:rPr>
          <w:rFonts w:hint="default" w:ascii="Times New Roman" w:hAnsi="Times New Roman" w:eastAsia="黑体" w:cs="Times New Roman"/>
          <w:color w:val="222222"/>
          <w:kern w:val="0"/>
          <w:sz w:val="32"/>
          <w:szCs w:val="32"/>
        </w:rPr>
      </w:pPr>
      <w:r>
        <w:rPr>
          <w:rFonts w:hint="default" w:ascii="Times New Roman" w:hAnsi="Times New Roman" w:eastAsia="黑体" w:cs="Times New Roman"/>
          <w:color w:val="222222"/>
          <w:kern w:val="0"/>
          <w:sz w:val="32"/>
          <w:szCs w:val="32"/>
        </w:rPr>
        <w:t>四、绩效评价工作情况</w:t>
      </w:r>
    </w:p>
    <w:p>
      <w:pPr>
        <w:widowControl/>
        <w:spacing w:line="560" w:lineRule="exact"/>
        <w:ind w:firstLine="64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五、综合评价结果</w:t>
      </w:r>
    </w:p>
    <w:p>
      <w:pPr>
        <w:widowControl/>
        <w:spacing w:line="560" w:lineRule="exact"/>
        <w:ind w:firstLine="640"/>
        <w:rPr>
          <w:rFonts w:hint="default" w:ascii="Times New Roman" w:hAnsi="Times New Roman" w:eastAsia="黑体" w:cs="Times New Roman"/>
          <w:color w:val="222222"/>
          <w:kern w:val="0"/>
          <w:sz w:val="32"/>
          <w:szCs w:val="32"/>
        </w:rPr>
      </w:pPr>
      <w:r>
        <w:rPr>
          <w:rFonts w:hint="default" w:ascii="Times New Roman" w:hAnsi="Times New Roman" w:eastAsia="黑体" w:cs="Times New Roman"/>
          <w:color w:val="222222"/>
          <w:kern w:val="0"/>
          <w:sz w:val="32"/>
          <w:szCs w:val="32"/>
        </w:rPr>
        <w:t>六、部门整体支出绩效情况</w:t>
      </w:r>
    </w:p>
    <w:p>
      <w:pPr>
        <w:widowControl/>
        <w:spacing w:line="560" w:lineRule="exact"/>
        <w:ind w:firstLine="640"/>
        <w:rPr>
          <w:rFonts w:hint="default" w:ascii="Times New Roman" w:hAnsi="Times New Roman" w:eastAsia="黑体" w:cs="Times New Roman"/>
          <w:color w:val="222222"/>
          <w:kern w:val="0"/>
          <w:sz w:val="32"/>
          <w:szCs w:val="32"/>
          <w:lang w:val="en-US" w:eastAsia="zh-CN"/>
        </w:rPr>
      </w:pPr>
      <w:r>
        <w:rPr>
          <w:rFonts w:hint="default" w:ascii="Times New Roman" w:hAnsi="Times New Roman" w:eastAsia="黑体" w:cs="Times New Roman"/>
          <w:color w:val="222222"/>
          <w:kern w:val="0"/>
          <w:sz w:val="32"/>
          <w:szCs w:val="32"/>
        </w:rPr>
        <w:t>七、存在的主要问题</w:t>
      </w:r>
      <w:r>
        <w:rPr>
          <w:rFonts w:hint="eastAsia" w:ascii="Times New Roman" w:hAnsi="Times New Roman" w:eastAsia="黑体" w:cs="Times New Roman"/>
          <w:color w:val="222222"/>
          <w:kern w:val="0"/>
          <w:sz w:val="32"/>
          <w:szCs w:val="32"/>
          <w:lang w:val="en-US" w:eastAsia="zh-CN"/>
        </w:rPr>
        <w:t>及原因分析</w:t>
      </w:r>
    </w:p>
    <w:p>
      <w:pPr>
        <w:widowControl/>
        <w:spacing w:line="560" w:lineRule="exact"/>
        <w:ind w:firstLine="64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八、有关建议</w:t>
      </w:r>
    </w:p>
    <w:p>
      <w:pPr>
        <w:widowControl/>
        <w:spacing w:line="560" w:lineRule="exact"/>
        <w:ind w:firstLine="640"/>
        <w:rPr>
          <w:rFonts w:hint="default" w:ascii="Times New Roman" w:hAnsi="Times New Roman" w:eastAsia="黑体" w:cs="Times New Roman"/>
          <w:color w:val="222222"/>
          <w:kern w:val="0"/>
          <w:sz w:val="32"/>
          <w:szCs w:val="32"/>
        </w:rPr>
      </w:pPr>
      <w:r>
        <w:rPr>
          <w:rFonts w:hint="default" w:ascii="Times New Roman" w:hAnsi="Times New Roman" w:eastAsia="黑体" w:cs="Times New Roman"/>
          <w:color w:val="000000"/>
          <w:sz w:val="32"/>
          <w:szCs w:val="32"/>
        </w:rPr>
        <w:br w:type="page"/>
      </w:r>
      <w:r>
        <w:rPr>
          <w:rFonts w:hint="default" w:ascii="Times New Roman" w:hAnsi="Times New Roman" w:eastAsia="黑体" w:cs="Times New Roman"/>
          <w:color w:val="222222"/>
          <w:kern w:val="0"/>
          <w:sz w:val="32"/>
          <w:szCs w:val="32"/>
        </w:rPr>
        <w:t>一、部门概况</w:t>
      </w:r>
    </w:p>
    <w:p>
      <w:pPr>
        <w:widowControl/>
        <w:spacing w:line="560" w:lineRule="exact"/>
        <w:ind w:firstLine="640"/>
        <w:rPr>
          <w:rFonts w:hint="default" w:ascii="Times New Roman" w:hAnsi="Times New Roman" w:eastAsia="黑体" w:cs="Times New Roman"/>
          <w:color w:val="222222"/>
          <w:kern w:val="0"/>
          <w:sz w:val="32"/>
          <w:szCs w:val="32"/>
        </w:rPr>
      </w:pPr>
      <w:r>
        <w:rPr>
          <w:rFonts w:hint="eastAsia" w:ascii="仿宋" w:hAnsi="仿宋" w:eastAsia="仿宋"/>
          <w:sz w:val="32"/>
          <w:szCs w:val="32"/>
        </w:rPr>
        <w:t>据《中共常德市委办公室常德市人民政府办公室关于印发&lt;常德市机构改革实施方案&gt;的通知》（常办发﹝2018﹞14号）和《中共常德市委机构编制委员会关于市本级机构改革涉改处级事业单位调整有关事项的通知》（常编发﹝2019﹞1号），常德市委党史研究室（以下简称市委党史研究室）作为市委直属的正处级公益一类事业单位，加挂常德市地方志编纂室（简称市地方志编纂室）牌子。</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（一）机构、人员构成</w:t>
      </w:r>
    </w:p>
    <w:p>
      <w:pPr>
        <w:widowControl/>
        <w:spacing w:line="560" w:lineRule="exact"/>
        <w:ind w:firstLine="640"/>
        <w:rPr>
          <w:rFonts w:hint="eastAsia" w:ascii="仿宋" w:hAnsi="仿宋" w:eastAsia="仿宋"/>
          <w:sz w:val="32"/>
          <w:szCs w:val="32"/>
        </w:rPr>
      </w:pPr>
      <w:r>
        <w:rPr>
          <w:rFonts w:hint="eastAsia" w:ascii="仿宋_GB2312" w:hAnsi="仿宋_GB2312" w:eastAsia="仿宋_GB2312" w:cs="仿宋_GB2312"/>
          <w:sz w:val="32"/>
          <w:szCs w:val="32"/>
        </w:rPr>
        <w:t>中共常德市委党</w:t>
      </w:r>
      <w:r>
        <w:rPr>
          <w:rFonts w:hint="eastAsia" w:ascii="仿宋_GB2312" w:hAnsi="仿宋_GB2312" w:eastAsia="仿宋_GB2312" w:cs="仿宋_GB2312"/>
          <w:sz w:val="32"/>
          <w:szCs w:val="32"/>
          <w:lang w:eastAsia="zh-CN"/>
        </w:rPr>
        <w:t>研究室</w:t>
      </w:r>
      <w:r>
        <w:rPr>
          <w:rFonts w:hint="eastAsia" w:ascii="仿宋_GB2312" w:hAnsi="仿宋_GB2312" w:eastAsia="仿宋_GB2312" w:cs="仿宋_GB2312"/>
          <w:sz w:val="32"/>
          <w:szCs w:val="32"/>
        </w:rPr>
        <w:t>为独立财务核算单位，财政预算一级拨款单位。下设5个职能</w:t>
      </w:r>
      <w:r>
        <w:rPr>
          <w:rFonts w:hint="eastAsia" w:ascii="仿宋_GB2312" w:hAnsi="仿宋_GB2312" w:eastAsia="仿宋_GB2312" w:cs="仿宋_GB2312"/>
          <w:sz w:val="32"/>
          <w:szCs w:val="32"/>
          <w:lang w:eastAsia="zh-CN"/>
        </w:rPr>
        <w:t>部</w:t>
      </w:r>
      <w:r>
        <w:rPr>
          <w:rFonts w:hint="eastAsia" w:ascii="仿宋_GB2312" w:hAnsi="仿宋_GB2312" w:eastAsia="仿宋_GB2312" w:cs="仿宋_GB2312"/>
          <w:sz w:val="32"/>
          <w:szCs w:val="32"/>
        </w:rPr>
        <w:t>室，全额拨款事业编制19名。201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年实际情况为：在职人员1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人，退休人员15人，聘用司机1人，综合服务人员1人。</w:t>
      </w:r>
    </w:p>
    <w:p>
      <w:pPr>
        <w:widowControl/>
        <w:numPr>
          <w:ilvl w:val="0"/>
          <w:numId w:val="1"/>
        </w:numPr>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单位主要职责</w:t>
      </w:r>
    </w:p>
    <w:p>
      <w:pPr>
        <w:widowControl/>
        <w:numPr>
          <w:ilvl w:val="0"/>
          <w:numId w:val="0"/>
        </w:numPr>
        <w:spacing w:line="560" w:lineRule="exact"/>
        <w:ind w:firstLine="640" w:firstLineChars="20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市委党史研究室贯彻落实党中央、省委、市委关于党史研究工作的方针政策、决策部署和具体要求，在履行职责过程中坚持和加强党对党史研究工作的集中统一领导。主要职责是：</w:t>
      </w:r>
    </w:p>
    <w:p>
      <w:pPr>
        <w:widowControl/>
        <w:spacing w:line="560" w:lineRule="exact"/>
        <w:ind w:firstLine="640"/>
        <w:rPr>
          <w:rFonts w:hint="default" w:ascii="Times New Roman" w:hAnsi="Times New Roman" w:eastAsia="仿宋" w:cs="Times New Roman"/>
          <w:color w:val="222222"/>
          <w:kern w:val="0"/>
          <w:sz w:val="32"/>
          <w:szCs w:val="32"/>
        </w:rPr>
      </w:pPr>
      <w:r>
        <w:rPr>
          <w:rFonts w:hint="eastAsia" w:ascii="Times New Roman" w:hAnsi="Times New Roman" w:eastAsia="仿宋" w:cs="Times New Roman"/>
          <w:color w:val="222222"/>
          <w:kern w:val="0"/>
          <w:sz w:val="32"/>
          <w:szCs w:val="32"/>
          <w:lang w:val="en-US" w:eastAsia="zh-CN"/>
        </w:rPr>
        <w:t>1.</w:t>
      </w:r>
      <w:r>
        <w:rPr>
          <w:rFonts w:hint="default" w:ascii="Times New Roman" w:hAnsi="Times New Roman" w:eastAsia="仿宋" w:cs="Times New Roman"/>
          <w:color w:val="222222"/>
          <w:kern w:val="0"/>
          <w:sz w:val="32"/>
          <w:szCs w:val="32"/>
        </w:rPr>
        <w:t>贯彻落实中央、省有关党史及地方志工作的方针、政策；规划和组织全市的党史、方志工作；承担市委党史工作领导小组和市地方志编纂委员会的日常工作。</w:t>
      </w:r>
    </w:p>
    <w:p>
      <w:pPr>
        <w:widowControl/>
        <w:spacing w:line="560" w:lineRule="exact"/>
        <w:ind w:firstLine="640"/>
        <w:rPr>
          <w:rFonts w:hint="default" w:ascii="Times New Roman" w:hAnsi="Times New Roman" w:eastAsia="仿宋" w:cs="Times New Roman"/>
          <w:color w:val="222222"/>
          <w:kern w:val="0"/>
          <w:sz w:val="32"/>
          <w:szCs w:val="32"/>
        </w:rPr>
      </w:pPr>
      <w:r>
        <w:rPr>
          <w:rFonts w:hint="eastAsia" w:ascii="Times New Roman" w:hAnsi="Times New Roman" w:eastAsia="仿宋" w:cs="Times New Roman"/>
          <w:color w:val="222222"/>
          <w:kern w:val="0"/>
          <w:sz w:val="32"/>
          <w:szCs w:val="32"/>
          <w:lang w:val="en-US" w:eastAsia="zh-CN"/>
        </w:rPr>
        <w:t>2.</w:t>
      </w:r>
      <w:r>
        <w:rPr>
          <w:rFonts w:hint="default" w:ascii="Times New Roman" w:hAnsi="Times New Roman" w:eastAsia="仿宋" w:cs="Times New Roman"/>
          <w:color w:val="222222"/>
          <w:kern w:val="0"/>
          <w:sz w:val="32"/>
          <w:szCs w:val="32"/>
        </w:rPr>
        <w:t>研究总结常德深入贯彻习近平新时代中国特色社会主义思想的实践和经验。</w:t>
      </w:r>
    </w:p>
    <w:p>
      <w:pPr>
        <w:widowControl/>
        <w:spacing w:line="560" w:lineRule="exact"/>
        <w:ind w:firstLine="640"/>
        <w:rPr>
          <w:rFonts w:hint="default" w:ascii="Times New Roman" w:hAnsi="Times New Roman" w:eastAsia="仿宋" w:cs="Times New Roman"/>
          <w:color w:val="222222"/>
          <w:kern w:val="0"/>
          <w:sz w:val="32"/>
          <w:szCs w:val="32"/>
        </w:rPr>
      </w:pPr>
      <w:r>
        <w:rPr>
          <w:rFonts w:hint="eastAsia" w:ascii="Times New Roman" w:hAnsi="Times New Roman" w:eastAsia="仿宋" w:cs="Times New Roman"/>
          <w:color w:val="222222"/>
          <w:kern w:val="0"/>
          <w:sz w:val="32"/>
          <w:szCs w:val="32"/>
          <w:lang w:val="en-US" w:eastAsia="zh-CN"/>
        </w:rPr>
        <w:t>3.</w:t>
      </w:r>
      <w:r>
        <w:rPr>
          <w:rFonts w:hint="default" w:ascii="Times New Roman" w:hAnsi="Times New Roman" w:eastAsia="仿宋" w:cs="Times New Roman"/>
          <w:color w:val="222222"/>
          <w:kern w:val="0"/>
          <w:sz w:val="32"/>
          <w:szCs w:val="32"/>
        </w:rPr>
        <w:t>征集、整理中共常德地方史资料，研究编写中共常德地方史，编纂出版党史书刊、老同志回忆录；组织编修《常德市志》、部门志、专业志、企业志和市志丛书，抢救整理全市各种旧志资料。</w:t>
      </w:r>
    </w:p>
    <w:p>
      <w:pPr>
        <w:widowControl/>
        <w:spacing w:line="560" w:lineRule="exact"/>
        <w:ind w:firstLine="640"/>
        <w:rPr>
          <w:rFonts w:hint="default" w:ascii="Times New Roman" w:hAnsi="Times New Roman" w:eastAsia="仿宋" w:cs="Times New Roman"/>
          <w:color w:val="222222"/>
          <w:kern w:val="0"/>
          <w:sz w:val="32"/>
          <w:szCs w:val="32"/>
        </w:rPr>
      </w:pPr>
      <w:r>
        <w:rPr>
          <w:rFonts w:hint="eastAsia" w:ascii="Times New Roman" w:hAnsi="Times New Roman" w:eastAsia="仿宋" w:cs="Times New Roman"/>
          <w:color w:val="222222"/>
          <w:kern w:val="0"/>
          <w:sz w:val="32"/>
          <w:szCs w:val="32"/>
          <w:lang w:val="en-US" w:eastAsia="zh-CN"/>
        </w:rPr>
        <w:t>4.</w:t>
      </w:r>
      <w:r>
        <w:rPr>
          <w:rFonts w:hint="default" w:ascii="Times New Roman" w:hAnsi="Times New Roman" w:eastAsia="仿宋" w:cs="Times New Roman"/>
          <w:color w:val="222222"/>
          <w:kern w:val="0"/>
          <w:sz w:val="32"/>
          <w:szCs w:val="32"/>
        </w:rPr>
        <w:t>运用史志资料和史志研究成果，开展各种形式的党史、方志宣传教育，发挥编史修志资政育人的社会功能；参与组织重大党史事件、重要党史人物的纪念活动；审核涉及中国共产党常德历史的重要文稿、书稿、照片，参与审核全市党史题材作品、重要展览、新建党史纪念场馆的立项和内容等。</w:t>
      </w:r>
    </w:p>
    <w:p>
      <w:pPr>
        <w:widowControl/>
        <w:spacing w:line="560" w:lineRule="exact"/>
        <w:ind w:firstLine="640"/>
        <w:rPr>
          <w:rFonts w:hint="default" w:ascii="Times New Roman" w:hAnsi="Times New Roman" w:eastAsia="仿宋" w:cs="Times New Roman"/>
          <w:color w:val="222222"/>
          <w:kern w:val="0"/>
          <w:sz w:val="32"/>
          <w:szCs w:val="32"/>
        </w:rPr>
      </w:pPr>
      <w:r>
        <w:rPr>
          <w:rFonts w:hint="eastAsia" w:ascii="Times New Roman" w:hAnsi="Times New Roman" w:eastAsia="仿宋" w:cs="Times New Roman"/>
          <w:color w:val="222222"/>
          <w:kern w:val="0"/>
          <w:sz w:val="32"/>
          <w:szCs w:val="32"/>
          <w:lang w:val="en-US" w:eastAsia="zh-CN"/>
        </w:rPr>
        <w:t>5.</w:t>
      </w:r>
      <w:r>
        <w:rPr>
          <w:rFonts w:hint="default" w:ascii="Times New Roman" w:hAnsi="Times New Roman" w:eastAsia="仿宋" w:cs="Times New Roman"/>
          <w:color w:val="222222"/>
          <w:kern w:val="0"/>
          <w:sz w:val="32"/>
          <w:szCs w:val="32"/>
        </w:rPr>
        <w:t>负责对区县（市）党史、方志部门的业务联系和协调；组织对各区县（市）党史、方志部门编辑的史志书籍进行评审、验收；负责对区县（市）党史、方志干部及其他史志工作者培训。</w:t>
      </w:r>
    </w:p>
    <w:p>
      <w:pPr>
        <w:widowControl/>
        <w:spacing w:line="560" w:lineRule="exact"/>
        <w:ind w:firstLine="640"/>
        <w:rPr>
          <w:rFonts w:hint="default" w:ascii="Times New Roman" w:hAnsi="Times New Roman" w:eastAsia="仿宋" w:cs="Times New Roman"/>
          <w:color w:val="222222"/>
          <w:kern w:val="0"/>
          <w:sz w:val="32"/>
          <w:szCs w:val="32"/>
        </w:rPr>
      </w:pPr>
      <w:r>
        <w:rPr>
          <w:rFonts w:hint="eastAsia" w:ascii="Times New Roman" w:hAnsi="Times New Roman" w:eastAsia="仿宋" w:cs="Times New Roman"/>
          <w:color w:val="222222"/>
          <w:kern w:val="0"/>
          <w:sz w:val="32"/>
          <w:szCs w:val="32"/>
          <w:lang w:val="en-US" w:eastAsia="zh-CN"/>
        </w:rPr>
        <w:t>6.</w:t>
      </w:r>
      <w:r>
        <w:rPr>
          <w:rFonts w:hint="default" w:ascii="Times New Roman" w:hAnsi="Times New Roman" w:eastAsia="仿宋" w:cs="Times New Roman"/>
          <w:color w:val="222222"/>
          <w:kern w:val="0"/>
          <w:sz w:val="32"/>
          <w:szCs w:val="32"/>
        </w:rPr>
        <w:t>收集、整理、研究常德地方文献和地情资料，编辑出版《常德年鉴》。</w:t>
      </w:r>
    </w:p>
    <w:p>
      <w:pPr>
        <w:widowControl/>
        <w:spacing w:line="560" w:lineRule="exact"/>
        <w:ind w:firstLine="640"/>
        <w:rPr>
          <w:rFonts w:hint="default" w:ascii="Times New Roman" w:hAnsi="Times New Roman" w:eastAsia="仿宋" w:cs="Times New Roman"/>
          <w:color w:val="222222"/>
          <w:kern w:val="0"/>
          <w:sz w:val="32"/>
          <w:szCs w:val="32"/>
        </w:rPr>
      </w:pPr>
      <w:r>
        <w:rPr>
          <w:rFonts w:hint="eastAsia" w:ascii="Times New Roman" w:hAnsi="Times New Roman" w:eastAsia="仿宋" w:cs="Times New Roman"/>
          <w:color w:val="222222"/>
          <w:kern w:val="0"/>
          <w:sz w:val="32"/>
          <w:szCs w:val="32"/>
          <w:lang w:val="en-US" w:eastAsia="zh-CN"/>
        </w:rPr>
        <w:t>7.</w:t>
      </w:r>
      <w:r>
        <w:rPr>
          <w:rFonts w:hint="default" w:ascii="Times New Roman" w:hAnsi="Times New Roman" w:eastAsia="仿宋" w:cs="Times New Roman"/>
          <w:color w:val="222222"/>
          <w:kern w:val="0"/>
          <w:sz w:val="32"/>
          <w:szCs w:val="32"/>
        </w:rPr>
        <w:t>组织指导全市党史联络工作，为离退休老干部做好党史工作服务。</w:t>
      </w:r>
    </w:p>
    <w:p>
      <w:pPr>
        <w:widowControl/>
        <w:spacing w:line="560" w:lineRule="exact"/>
        <w:ind w:firstLine="640"/>
        <w:rPr>
          <w:rFonts w:hint="default" w:ascii="Times New Roman" w:hAnsi="Times New Roman" w:eastAsia="仿宋" w:cs="Times New Roman"/>
          <w:color w:val="222222"/>
          <w:kern w:val="0"/>
          <w:sz w:val="32"/>
          <w:szCs w:val="32"/>
        </w:rPr>
      </w:pPr>
      <w:r>
        <w:rPr>
          <w:rFonts w:hint="eastAsia" w:ascii="Times New Roman" w:hAnsi="Times New Roman" w:eastAsia="仿宋" w:cs="Times New Roman"/>
          <w:color w:val="222222"/>
          <w:kern w:val="0"/>
          <w:sz w:val="32"/>
          <w:szCs w:val="32"/>
          <w:lang w:val="en-US" w:eastAsia="zh-CN"/>
        </w:rPr>
        <w:t>8.</w:t>
      </w:r>
      <w:r>
        <w:rPr>
          <w:rFonts w:hint="default" w:ascii="Times New Roman" w:hAnsi="Times New Roman" w:eastAsia="仿宋" w:cs="Times New Roman"/>
          <w:color w:val="222222"/>
          <w:kern w:val="0"/>
          <w:sz w:val="32"/>
          <w:szCs w:val="32"/>
        </w:rPr>
        <w:t>承办市委、市人民政府交办的其他事项。</w:t>
      </w:r>
    </w:p>
    <w:p>
      <w:pPr>
        <w:widowControl/>
        <w:spacing w:line="560" w:lineRule="exact"/>
        <w:ind w:firstLine="640"/>
        <w:rPr>
          <w:rFonts w:hint="default" w:ascii="Times New Roman" w:hAnsi="Times New Roman" w:eastAsia="黑体" w:cs="Times New Roman"/>
          <w:color w:val="222222"/>
          <w:kern w:val="0"/>
          <w:sz w:val="32"/>
          <w:szCs w:val="32"/>
        </w:rPr>
      </w:pPr>
      <w:r>
        <w:rPr>
          <w:rFonts w:hint="default" w:ascii="Times New Roman" w:hAnsi="Times New Roman" w:eastAsia="黑体" w:cs="Times New Roman"/>
          <w:color w:val="222222"/>
          <w:kern w:val="0"/>
          <w:sz w:val="32"/>
          <w:szCs w:val="32"/>
        </w:rPr>
        <w:t>二、部门财务情况</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（一）部门整体支出情况</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市委党史</w:t>
      </w:r>
      <w:r>
        <w:rPr>
          <w:rFonts w:hint="eastAsia" w:ascii="Times New Roman" w:hAnsi="Times New Roman" w:eastAsia="仿宋" w:cs="Times New Roman"/>
          <w:color w:val="222222"/>
          <w:kern w:val="0"/>
          <w:sz w:val="32"/>
          <w:szCs w:val="32"/>
          <w:lang w:eastAsia="zh-CN"/>
        </w:rPr>
        <w:t>研究室</w:t>
      </w:r>
      <w:r>
        <w:rPr>
          <w:rFonts w:hint="default" w:ascii="Times New Roman" w:hAnsi="Times New Roman" w:eastAsia="仿宋" w:cs="Times New Roman"/>
          <w:color w:val="222222"/>
          <w:kern w:val="0"/>
          <w:sz w:val="32"/>
          <w:szCs w:val="32"/>
        </w:rPr>
        <w:t>账面反映，201</w:t>
      </w:r>
      <w:r>
        <w:rPr>
          <w:rFonts w:hint="eastAsia" w:ascii="Times New Roman" w:hAnsi="Times New Roman" w:eastAsia="仿宋" w:cs="Times New Roman"/>
          <w:color w:val="222222"/>
          <w:kern w:val="0"/>
          <w:sz w:val="32"/>
          <w:szCs w:val="32"/>
          <w:lang w:val="en-US" w:eastAsia="zh-CN"/>
        </w:rPr>
        <w:t>9</w:t>
      </w:r>
      <w:r>
        <w:rPr>
          <w:rFonts w:hint="default" w:ascii="Times New Roman" w:hAnsi="Times New Roman" w:eastAsia="仿宋" w:cs="Times New Roman"/>
          <w:color w:val="222222"/>
          <w:kern w:val="0"/>
          <w:sz w:val="32"/>
          <w:szCs w:val="32"/>
        </w:rPr>
        <w:t>年度收入总计</w:t>
      </w:r>
      <w:r>
        <w:rPr>
          <w:rFonts w:hint="eastAsia" w:ascii="Times New Roman" w:hAnsi="Times New Roman" w:eastAsia="仿宋" w:cs="Times New Roman"/>
          <w:color w:val="222222"/>
          <w:kern w:val="0"/>
          <w:sz w:val="32"/>
          <w:szCs w:val="32"/>
          <w:lang w:val="en-US" w:eastAsia="zh-CN"/>
        </w:rPr>
        <w:t>491.28</w:t>
      </w:r>
      <w:r>
        <w:rPr>
          <w:rFonts w:hint="default" w:ascii="Times New Roman" w:hAnsi="Times New Roman" w:eastAsia="仿宋" w:cs="Times New Roman"/>
          <w:color w:val="222222"/>
          <w:kern w:val="0"/>
          <w:sz w:val="32"/>
          <w:szCs w:val="32"/>
        </w:rPr>
        <w:t>万元，均为财政补助收入，支出总计</w:t>
      </w:r>
      <w:r>
        <w:rPr>
          <w:rFonts w:hint="eastAsia" w:ascii="Times New Roman" w:hAnsi="Times New Roman" w:eastAsia="仿宋" w:cs="Times New Roman"/>
          <w:color w:val="222222"/>
          <w:kern w:val="0"/>
          <w:sz w:val="32"/>
          <w:szCs w:val="32"/>
          <w:lang w:val="en-US" w:eastAsia="zh-CN"/>
        </w:rPr>
        <w:t>508.17</w:t>
      </w:r>
      <w:r>
        <w:rPr>
          <w:rFonts w:hint="default" w:ascii="Times New Roman" w:hAnsi="Times New Roman" w:eastAsia="仿宋" w:cs="Times New Roman"/>
          <w:color w:val="222222"/>
          <w:kern w:val="0"/>
          <w:sz w:val="32"/>
          <w:szCs w:val="32"/>
        </w:rPr>
        <w:t>万元，其中：人员经费</w:t>
      </w:r>
      <w:r>
        <w:rPr>
          <w:rFonts w:hint="eastAsia" w:ascii="Times New Roman" w:hAnsi="Times New Roman" w:eastAsia="仿宋" w:cs="Times New Roman"/>
          <w:color w:val="222222"/>
          <w:kern w:val="0"/>
          <w:sz w:val="32"/>
          <w:szCs w:val="32"/>
          <w:lang w:val="en-US" w:eastAsia="zh-CN"/>
        </w:rPr>
        <w:t>356.04</w:t>
      </w:r>
      <w:r>
        <w:rPr>
          <w:rFonts w:hint="default" w:ascii="Times New Roman" w:hAnsi="Times New Roman" w:eastAsia="仿宋" w:cs="Times New Roman"/>
          <w:color w:val="222222"/>
          <w:kern w:val="0"/>
          <w:sz w:val="32"/>
          <w:szCs w:val="32"/>
        </w:rPr>
        <w:t>万元（工资福利支出</w:t>
      </w:r>
      <w:r>
        <w:rPr>
          <w:rFonts w:hint="eastAsia" w:ascii="Times New Roman" w:hAnsi="Times New Roman" w:eastAsia="仿宋" w:cs="Times New Roman"/>
          <w:color w:val="222222"/>
          <w:kern w:val="0"/>
          <w:sz w:val="32"/>
          <w:szCs w:val="32"/>
          <w:lang w:val="en-US" w:eastAsia="zh-CN"/>
        </w:rPr>
        <w:t>249.00</w:t>
      </w:r>
      <w:r>
        <w:rPr>
          <w:rFonts w:hint="default" w:ascii="Times New Roman" w:hAnsi="Times New Roman" w:eastAsia="仿宋" w:cs="Times New Roman"/>
          <w:color w:val="222222"/>
          <w:kern w:val="0"/>
          <w:sz w:val="32"/>
          <w:szCs w:val="32"/>
        </w:rPr>
        <w:t>万元，对个人和家庭的补助支出</w:t>
      </w:r>
      <w:r>
        <w:rPr>
          <w:rFonts w:hint="eastAsia" w:ascii="Times New Roman" w:hAnsi="Times New Roman" w:eastAsia="仿宋" w:cs="Times New Roman"/>
          <w:color w:val="222222"/>
          <w:kern w:val="0"/>
          <w:sz w:val="32"/>
          <w:szCs w:val="32"/>
          <w:lang w:val="en-US" w:eastAsia="zh-CN"/>
        </w:rPr>
        <w:t>107.03</w:t>
      </w:r>
      <w:r>
        <w:rPr>
          <w:rFonts w:hint="default" w:ascii="Times New Roman" w:hAnsi="Times New Roman" w:eastAsia="仿宋" w:cs="Times New Roman"/>
          <w:color w:val="222222"/>
          <w:kern w:val="0"/>
          <w:sz w:val="32"/>
          <w:szCs w:val="32"/>
        </w:rPr>
        <w:t>万元），公用经费</w:t>
      </w:r>
      <w:r>
        <w:rPr>
          <w:rFonts w:hint="eastAsia" w:ascii="Times New Roman" w:hAnsi="Times New Roman" w:eastAsia="仿宋" w:cs="Times New Roman"/>
          <w:color w:val="222222"/>
          <w:kern w:val="0"/>
          <w:sz w:val="32"/>
          <w:szCs w:val="32"/>
          <w:lang w:val="en-US" w:eastAsia="zh-CN"/>
        </w:rPr>
        <w:t>152.13</w:t>
      </w:r>
      <w:r>
        <w:rPr>
          <w:rFonts w:hint="default" w:ascii="Times New Roman" w:hAnsi="Times New Roman" w:eastAsia="仿宋" w:cs="Times New Roman"/>
          <w:color w:val="222222"/>
          <w:kern w:val="0"/>
          <w:sz w:val="32"/>
          <w:szCs w:val="32"/>
        </w:rPr>
        <w:t>万元（商品和服务支出</w:t>
      </w:r>
      <w:r>
        <w:rPr>
          <w:rFonts w:hint="eastAsia" w:ascii="Times New Roman" w:hAnsi="Times New Roman" w:eastAsia="仿宋" w:cs="Times New Roman"/>
          <w:color w:val="222222"/>
          <w:kern w:val="0"/>
          <w:sz w:val="32"/>
          <w:szCs w:val="32"/>
          <w:lang w:val="en-US" w:eastAsia="zh-CN"/>
        </w:rPr>
        <w:t>147.17</w:t>
      </w:r>
      <w:r>
        <w:rPr>
          <w:rFonts w:hint="default" w:ascii="Times New Roman" w:hAnsi="Times New Roman" w:eastAsia="仿宋" w:cs="Times New Roman"/>
          <w:color w:val="222222"/>
          <w:kern w:val="0"/>
          <w:sz w:val="32"/>
          <w:szCs w:val="32"/>
        </w:rPr>
        <w:t>万元，资本性支出</w:t>
      </w:r>
      <w:r>
        <w:rPr>
          <w:rFonts w:hint="eastAsia" w:ascii="Times New Roman" w:hAnsi="Times New Roman" w:eastAsia="仿宋" w:cs="Times New Roman"/>
          <w:color w:val="222222"/>
          <w:kern w:val="0"/>
          <w:sz w:val="32"/>
          <w:szCs w:val="32"/>
          <w:lang w:val="en-US" w:eastAsia="zh-CN"/>
        </w:rPr>
        <w:t>4.96</w:t>
      </w:r>
      <w:r>
        <w:rPr>
          <w:rFonts w:hint="default" w:ascii="Times New Roman" w:hAnsi="Times New Roman" w:eastAsia="仿宋" w:cs="Times New Roman"/>
          <w:color w:val="222222"/>
          <w:kern w:val="0"/>
          <w:sz w:val="32"/>
          <w:szCs w:val="32"/>
        </w:rPr>
        <w:t>万元）。</w:t>
      </w:r>
    </w:p>
    <w:p>
      <w:pPr>
        <w:widowControl/>
        <w:numPr>
          <w:ilvl w:val="0"/>
          <w:numId w:val="0"/>
        </w:numPr>
        <w:spacing w:line="560" w:lineRule="exact"/>
        <w:ind w:left="640" w:leftChars="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w:t>
      </w:r>
      <w:r>
        <w:rPr>
          <w:rFonts w:hint="eastAsia" w:ascii="Times New Roman" w:hAnsi="Times New Roman" w:eastAsia="仿宋" w:cs="Times New Roman"/>
          <w:color w:val="222222"/>
          <w:kern w:val="0"/>
          <w:sz w:val="32"/>
          <w:szCs w:val="32"/>
          <w:lang w:eastAsia="zh-CN"/>
        </w:rPr>
        <w:t>二</w:t>
      </w:r>
      <w:r>
        <w:rPr>
          <w:rFonts w:hint="default" w:ascii="Times New Roman" w:hAnsi="Times New Roman" w:eastAsia="仿宋" w:cs="Times New Roman"/>
          <w:color w:val="222222"/>
          <w:kern w:val="0"/>
          <w:sz w:val="32"/>
          <w:szCs w:val="32"/>
        </w:rPr>
        <w:t>）部门预算收支决算情况</w:t>
      </w:r>
    </w:p>
    <w:p>
      <w:pPr>
        <w:autoSpaceDE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市委党史研究室</w:t>
      </w:r>
      <w:r>
        <w:rPr>
          <w:rFonts w:hint="eastAsia" w:ascii="仿宋_GB2312" w:hAnsi="仿宋_GB2312" w:eastAsia="仿宋_GB2312" w:cs="仿宋_GB2312"/>
          <w:sz w:val="32"/>
          <w:szCs w:val="32"/>
        </w:rPr>
        <w:t>公共预算财政拨款收入</w:t>
      </w:r>
      <w:r>
        <w:rPr>
          <w:rFonts w:hint="eastAsia" w:ascii="仿宋_GB2312" w:hAnsi="仿宋_GB2312" w:eastAsia="仿宋_GB2312" w:cs="仿宋_GB2312"/>
          <w:sz w:val="32"/>
          <w:szCs w:val="32"/>
          <w:lang w:val="en-US" w:eastAsia="zh-CN"/>
        </w:rPr>
        <w:t>439.36</w:t>
      </w:r>
      <w:r>
        <w:rPr>
          <w:rFonts w:hint="eastAsia" w:ascii="仿宋_GB2312" w:hAnsi="仿宋_GB2312" w:eastAsia="仿宋_GB2312" w:cs="仿宋_GB2312"/>
          <w:sz w:val="32"/>
          <w:szCs w:val="32"/>
        </w:rPr>
        <w:t>万元，具体安排情况如下：</w:t>
      </w:r>
    </w:p>
    <w:p>
      <w:pPr>
        <w:autoSpaceDE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1、基本支出：</w:t>
      </w:r>
      <w:r>
        <w:rPr>
          <w:rFonts w:hint="eastAsia" w:ascii="仿宋_GB2312" w:hAnsi="仿宋_GB2312" w:eastAsia="仿宋_GB2312" w:cs="仿宋_GB2312"/>
          <w:sz w:val="32"/>
          <w:szCs w:val="32"/>
          <w:lang w:eastAsia="zh-CN"/>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年年初预算数为</w:t>
      </w:r>
      <w:r>
        <w:rPr>
          <w:rFonts w:hint="eastAsia" w:ascii="仿宋_GB2312" w:hAnsi="仿宋_GB2312" w:eastAsia="仿宋_GB2312" w:cs="仿宋_GB2312"/>
          <w:sz w:val="32"/>
          <w:szCs w:val="32"/>
          <w:lang w:val="en-US" w:eastAsia="zh-CN"/>
        </w:rPr>
        <w:t>439.36</w:t>
      </w:r>
      <w:r>
        <w:rPr>
          <w:rFonts w:hint="eastAsia" w:ascii="仿宋_GB2312" w:hAnsi="仿宋_GB2312" w:eastAsia="仿宋_GB2312" w:cs="仿宋_GB2312"/>
          <w:sz w:val="32"/>
          <w:szCs w:val="32"/>
        </w:rPr>
        <w:t>万元，是指单位为保障机构正常运转和完成日常工作任务而发生的各项支出。包括用于基本工资、津贴补贴（含离退休人员）等人员经费以及办公费、印刷费、水电费、办公设备购置等日常公用经费。</w:t>
      </w:r>
    </w:p>
    <w:p>
      <w:pPr>
        <w:autoSpaceDE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2、项目支出：</w:t>
      </w:r>
      <w:r>
        <w:rPr>
          <w:rFonts w:hint="eastAsia" w:ascii="仿宋_GB2312" w:hAnsi="仿宋_GB2312" w:eastAsia="仿宋_GB2312" w:cs="仿宋_GB2312"/>
          <w:sz w:val="32"/>
          <w:szCs w:val="32"/>
          <w:lang w:eastAsia="zh-CN"/>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年年初预算数为</w:t>
      </w:r>
      <w:r>
        <w:rPr>
          <w:rFonts w:hint="eastAsia" w:ascii="仿宋_GB2312" w:hAnsi="仿宋_GB2312" w:eastAsia="仿宋_GB2312" w:cs="仿宋_GB2312"/>
          <w:sz w:val="32"/>
          <w:szCs w:val="32"/>
          <w:lang w:val="en-US" w:eastAsia="zh-CN"/>
        </w:rPr>
        <w:t>72</w:t>
      </w:r>
      <w:r>
        <w:rPr>
          <w:rFonts w:hint="eastAsia" w:ascii="仿宋_GB2312" w:hAnsi="仿宋_GB2312" w:eastAsia="仿宋_GB2312" w:cs="仿宋_GB2312"/>
          <w:sz w:val="32"/>
          <w:szCs w:val="32"/>
        </w:rPr>
        <w:t>万元，是指单位为完成特定工作任务或事业发展目标，在基本支出之外支出。其中办刊补助</w:t>
      </w:r>
      <w:r>
        <w:rPr>
          <w:rFonts w:hint="eastAsia" w:ascii="仿宋_GB2312" w:hAnsi="仿宋_GB2312" w:eastAsia="仿宋_GB2312" w:cs="仿宋_GB2312"/>
          <w:sz w:val="32"/>
          <w:szCs w:val="32"/>
          <w:lang w:val="en-US" w:eastAsia="zh-CN"/>
        </w:rPr>
        <w:t>42</w:t>
      </w:r>
      <w:r>
        <w:rPr>
          <w:rFonts w:hint="eastAsia" w:ascii="仿宋_GB2312" w:hAnsi="仿宋_GB2312" w:eastAsia="仿宋_GB2312" w:cs="仿宋_GB2312"/>
          <w:sz w:val="32"/>
          <w:szCs w:val="32"/>
        </w:rPr>
        <w:t>万元，主要用于《常德年鉴》《武陵古今》等资料的编辑和印刷；党史联络经费支出15万元，主要用于组织指导全市党史联络工作，负责市委党史联络组的日常工作，为离退休老同志做好党史工作服务；《中国共产党常德历史（第三卷）》编撰经费15万元，主要用于编修《中国共产党常德历史（第三卷）》。</w:t>
      </w:r>
    </w:p>
    <w:p>
      <w:pPr>
        <w:autoSpaceDE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决算数大于预算数主要因为年度专项工作多、业务工作量有较大增长，追加了工作经费，增加了行政运行成本;另外，因绩效奖金和文明单位奖励、综治奖励、用车补助纳入财政统一拨付，增加了基础支出的人员经费。</w:t>
      </w:r>
    </w:p>
    <w:p>
      <w:pPr>
        <w:widowControl/>
        <w:numPr>
          <w:ilvl w:val="0"/>
          <w:numId w:val="0"/>
        </w:numPr>
        <w:spacing w:line="560" w:lineRule="exact"/>
        <w:ind w:left="640" w:leftChars="0"/>
        <w:rPr>
          <w:rFonts w:hint="default" w:ascii="Times New Roman" w:hAnsi="Times New Roman" w:eastAsia="仿宋" w:cs="Times New Roman"/>
          <w:color w:val="222222"/>
          <w:kern w:val="0"/>
          <w:sz w:val="32"/>
          <w:szCs w:val="32"/>
        </w:rPr>
      </w:pPr>
    </w:p>
    <w:p>
      <w:pPr>
        <w:numPr>
          <w:ilvl w:val="0"/>
          <w:numId w:val="1"/>
        </w:numPr>
        <w:autoSpaceDE w:val="0"/>
        <w:spacing w:line="600" w:lineRule="exact"/>
        <w:ind w:left="0" w:leftChars="0" w:firstLine="640" w:firstLineChars="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“三公经费”支出使用和管理情况</w:t>
      </w:r>
    </w:p>
    <w:p>
      <w:pPr>
        <w:numPr>
          <w:ilvl w:val="0"/>
          <w:numId w:val="0"/>
        </w:numPr>
        <w:autoSpaceDE w:val="0"/>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年度“三公”财政拨款支出决算数为</w:t>
      </w:r>
      <w:r>
        <w:rPr>
          <w:rFonts w:hint="eastAsia" w:ascii="仿宋_GB2312" w:hAnsi="仿宋_GB2312" w:eastAsia="仿宋_GB2312" w:cs="仿宋_GB2312"/>
          <w:sz w:val="32"/>
          <w:szCs w:val="32"/>
          <w:lang w:val="en-US" w:eastAsia="zh-CN"/>
        </w:rPr>
        <w:t>5.24</w:t>
      </w:r>
      <w:r>
        <w:rPr>
          <w:rFonts w:hint="eastAsia" w:ascii="仿宋_GB2312" w:hAnsi="仿宋_GB2312" w:eastAsia="仿宋_GB2312" w:cs="仿宋_GB2312"/>
          <w:sz w:val="32"/>
          <w:szCs w:val="32"/>
        </w:rPr>
        <w:t>万元，比201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年决算数</w:t>
      </w:r>
      <w:r>
        <w:rPr>
          <w:rFonts w:hint="eastAsia" w:ascii="仿宋_GB2312" w:hAnsi="仿宋_GB2312" w:eastAsia="仿宋_GB2312" w:cs="仿宋_GB2312"/>
          <w:sz w:val="32"/>
          <w:szCs w:val="32"/>
          <w:lang w:val="en-US" w:eastAsia="zh-CN"/>
        </w:rPr>
        <w:t>4.36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增加了</w:t>
      </w:r>
      <w:r>
        <w:rPr>
          <w:rFonts w:hint="eastAsia" w:ascii="仿宋_GB2312" w:hAnsi="仿宋_GB2312" w:eastAsia="仿宋_GB2312" w:cs="仿宋_GB2312"/>
          <w:sz w:val="32"/>
          <w:szCs w:val="32"/>
          <w:lang w:val="en-US" w:eastAsia="zh-CN"/>
        </w:rPr>
        <w:t>0.88</w:t>
      </w:r>
      <w:r>
        <w:rPr>
          <w:rFonts w:hint="eastAsia" w:ascii="仿宋_GB2312" w:hAnsi="仿宋_GB2312" w:eastAsia="仿宋_GB2312" w:cs="仿宋_GB2312"/>
          <w:sz w:val="32"/>
          <w:szCs w:val="32"/>
        </w:rPr>
        <w:t>万元，其中公务接待费</w:t>
      </w:r>
      <w:r>
        <w:rPr>
          <w:rFonts w:hint="eastAsia" w:ascii="仿宋_GB2312" w:hAnsi="仿宋_GB2312" w:eastAsia="仿宋_GB2312" w:cs="仿宋_GB2312"/>
          <w:sz w:val="32"/>
          <w:szCs w:val="32"/>
          <w:lang w:val="en-US" w:eastAsia="zh-CN"/>
        </w:rPr>
        <w:t>2.21</w:t>
      </w:r>
      <w:r>
        <w:rPr>
          <w:rFonts w:hint="eastAsia" w:ascii="仿宋_GB2312" w:hAnsi="仿宋_GB2312" w:eastAsia="仿宋_GB2312" w:cs="仿宋_GB2312"/>
          <w:sz w:val="32"/>
          <w:szCs w:val="32"/>
        </w:rPr>
        <w:t>万元，较上年</w:t>
      </w:r>
      <w:r>
        <w:rPr>
          <w:rFonts w:hint="eastAsia" w:ascii="仿宋_GB2312" w:hAnsi="仿宋_GB2312" w:eastAsia="仿宋_GB2312" w:cs="仿宋_GB2312"/>
          <w:sz w:val="32"/>
          <w:szCs w:val="32"/>
          <w:lang w:val="en-US" w:eastAsia="zh-CN"/>
        </w:rPr>
        <w:t>1.92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0.29</w:t>
      </w:r>
      <w:r>
        <w:rPr>
          <w:rFonts w:hint="eastAsia" w:ascii="仿宋_GB2312" w:hAnsi="仿宋_GB2312" w:eastAsia="仿宋_GB2312" w:cs="仿宋_GB2312"/>
          <w:sz w:val="32"/>
          <w:szCs w:val="32"/>
        </w:rPr>
        <w:t>万元，公务用车运行费为</w:t>
      </w:r>
      <w:r>
        <w:rPr>
          <w:rFonts w:hint="eastAsia" w:ascii="仿宋_GB2312" w:hAnsi="仿宋_GB2312" w:eastAsia="仿宋_GB2312" w:cs="仿宋_GB2312"/>
          <w:sz w:val="32"/>
          <w:szCs w:val="32"/>
          <w:lang w:val="en-US" w:eastAsia="zh-CN"/>
        </w:rPr>
        <w:t>3.03</w:t>
      </w:r>
      <w:r>
        <w:rPr>
          <w:rFonts w:hint="eastAsia" w:ascii="仿宋_GB2312" w:hAnsi="仿宋_GB2312" w:eastAsia="仿宋_GB2312" w:cs="仿宋_GB2312"/>
          <w:sz w:val="32"/>
          <w:szCs w:val="32"/>
        </w:rPr>
        <w:t>万元，较上年</w:t>
      </w:r>
      <w:r>
        <w:rPr>
          <w:rFonts w:hint="eastAsia" w:ascii="仿宋_GB2312" w:hAnsi="仿宋_GB2312" w:eastAsia="仿宋_GB2312" w:cs="仿宋_GB2312"/>
          <w:sz w:val="32"/>
          <w:szCs w:val="32"/>
          <w:lang w:val="en-US" w:eastAsia="zh-CN"/>
        </w:rPr>
        <w:t>2.44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0.59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的原因是</w:t>
      </w:r>
      <w:r>
        <w:rPr>
          <w:rFonts w:hint="eastAsia" w:ascii="仿宋_GB2312" w:hAnsi="仿宋_GB2312" w:eastAsia="仿宋_GB2312" w:cs="仿宋_GB2312"/>
          <w:sz w:val="32"/>
          <w:szCs w:val="32"/>
          <w:lang w:eastAsia="zh-CN"/>
        </w:rPr>
        <w:t>全省党史系统机构改革以及人员异动较多，单位间往来及督查交流增加，导致</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公务接待费略有上浮。公务车运行费增加的原因为公务车服务期限已达</w:t>
      </w:r>
      <w:r>
        <w:rPr>
          <w:rFonts w:hint="eastAsia" w:ascii="仿宋_GB2312" w:hAnsi="仿宋_GB2312" w:eastAsia="仿宋_GB2312" w:cs="仿宋_GB2312"/>
          <w:sz w:val="32"/>
          <w:szCs w:val="32"/>
          <w:lang w:val="en-US" w:eastAsia="zh-CN"/>
        </w:rPr>
        <w:t>10年</w:t>
      </w:r>
      <w:r>
        <w:rPr>
          <w:rFonts w:hint="eastAsia" w:ascii="仿宋_GB2312" w:hAnsi="仿宋_GB2312" w:eastAsia="仿宋_GB2312" w:cs="仿宋_GB2312"/>
          <w:sz w:val="32"/>
          <w:szCs w:val="32"/>
          <w:lang w:eastAsia="zh-CN"/>
        </w:rPr>
        <w:t>，维修费用少量增加。</w:t>
      </w:r>
    </w:p>
    <w:p>
      <w:pPr>
        <w:widowControl/>
        <w:spacing w:line="560" w:lineRule="exact"/>
        <w:ind w:firstLine="640"/>
        <w:rPr>
          <w:rFonts w:hint="default" w:ascii="Times New Roman" w:hAnsi="Times New Roman" w:eastAsia="仿宋" w:cs="Times New Roman"/>
          <w:color w:val="222222"/>
          <w:kern w:val="0"/>
          <w:sz w:val="32"/>
          <w:szCs w:val="32"/>
        </w:rPr>
      </w:pPr>
    </w:p>
    <w:p>
      <w:pPr>
        <w:widowControl/>
        <w:spacing w:line="560" w:lineRule="exact"/>
        <w:ind w:firstLine="640"/>
        <w:rPr>
          <w:rFonts w:hint="default" w:ascii="Times New Roman" w:hAnsi="Times New Roman" w:eastAsia="黑体" w:cs="Times New Roman"/>
          <w:color w:val="222222"/>
          <w:kern w:val="0"/>
          <w:sz w:val="32"/>
          <w:szCs w:val="32"/>
        </w:rPr>
      </w:pPr>
      <w:r>
        <w:rPr>
          <w:rFonts w:hint="default" w:ascii="Times New Roman" w:hAnsi="Times New Roman" w:eastAsia="黑体" w:cs="Times New Roman"/>
          <w:color w:val="222222"/>
          <w:kern w:val="0"/>
          <w:sz w:val="32"/>
          <w:szCs w:val="32"/>
        </w:rPr>
        <w:t>三、部门绩效目标</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（一）部门绩效总目标</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紧紧围绕全市经济工作大局，狠抓实现“三出、三能”目标不动摇，团结协作、真抓实干，进一步发挥以史鉴今、资政育人的作用，开创全市史志工作新局面。</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（二）201</w:t>
      </w:r>
      <w:r>
        <w:rPr>
          <w:rFonts w:hint="default" w:ascii="Times New Roman" w:hAnsi="Times New Roman" w:eastAsia="仿宋" w:cs="Times New Roman"/>
          <w:color w:val="222222"/>
          <w:kern w:val="0"/>
          <w:sz w:val="32"/>
          <w:szCs w:val="32"/>
          <w:lang w:val="en-US" w:eastAsia="zh-CN"/>
        </w:rPr>
        <w:t>9</w:t>
      </w:r>
      <w:r>
        <w:rPr>
          <w:rFonts w:hint="default" w:ascii="Times New Roman" w:hAnsi="Times New Roman" w:eastAsia="仿宋" w:cs="Times New Roman"/>
          <w:color w:val="222222"/>
          <w:kern w:val="0"/>
          <w:sz w:val="32"/>
          <w:szCs w:val="32"/>
        </w:rPr>
        <w:t>年度部门绩效目标</w:t>
      </w:r>
    </w:p>
    <w:p>
      <w:pPr>
        <w:widowControl/>
        <w:spacing w:line="560" w:lineRule="exact"/>
        <w:ind w:firstLine="640"/>
        <w:rPr>
          <w:rFonts w:hint="default" w:ascii="Times New Roman" w:hAnsi="Times New Roman" w:eastAsia="仿宋" w:cs="Times New Roman"/>
          <w:color w:val="222222"/>
          <w:kern w:val="0"/>
          <w:sz w:val="32"/>
          <w:szCs w:val="32"/>
        </w:rPr>
      </w:pPr>
      <w:r>
        <w:rPr>
          <w:rFonts w:hint="eastAsia" w:ascii="Times New Roman" w:hAnsi="Times New Roman" w:eastAsia="仿宋" w:cs="Times New Roman"/>
          <w:color w:val="222222"/>
          <w:kern w:val="0"/>
          <w:sz w:val="32"/>
          <w:szCs w:val="32"/>
          <w:lang w:val="en-US" w:eastAsia="zh-CN"/>
        </w:rPr>
        <w:t>1.</w:t>
      </w:r>
      <w:r>
        <w:rPr>
          <w:rFonts w:hint="default" w:ascii="Times New Roman" w:hAnsi="Times New Roman" w:eastAsia="仿宋" w:cs="Times New Roman"/>
          <w:color w:val="222222"/>
          <w:kern w:val="0"/>
          <w:sz w:val="32"/>
          <w:szCs w:val="32"/>
        </w:rPr>
        <w:t>《中共常德历史》第三卷（1978-2002）形成初稿。</w:t>
      </w:r>
    </w:p>
    <w:p>
      <w:pPr>
        <w:widowControl/>
        <w:spacing w:line="560" w:lineRule="exact"/>
        <w:ind w:firstLine="640"/>
        <w:rPr>
          <w:rFonts w:hint="default" w:ascii="Times New Roman" w:hAnsi="Times New Roman" w:eastAsia="仿宋" w:cs="Times New Roman"/>
          <w:color w:val="222222"/>
          <w:kern w:val="0"/>
          <w:sz w:val="32"/>
          <w:szCs w:val="32"/>
        </w:rPr>
      </w:pPr>
      <w:r>
        <w:rPr>
          <w:rFonts w:hint="eastAsia" w:ascii="Times New Roman" w:hAnsi="Times New Roman" w:eastAsia="仿宋" w:cs="Times New Roman"/>
          <w:color w:val="222222"/>
          <w:kern w:val="0"/>
          <w:sz w:val="32"/>
          <w:szCs w:val="32"/>
          <w:lang w:val="en-US" w:eastAsia="zh-CN"/>
        </w:rPr>
        <w:t>2.</w:t>
      </w:r>
      <w:r>
        <w:rPr>
          <w:rFonts w:hint="default" w:ascii="Times New Roman" w:hAnsi="Times New Roman" w:eastAsia="仿宋" w:cs="Times New Roman"/>
          <w:color w:val="222222"/>
          <w:kern w:val="0"/>
          <w:sz w:val="32"/>
          <w:szCs w:val="32"/>
        </w:rPr>
        <w:t>编辑出版4期《常德古今》期刊。</w:t>
      </w:r>
    </w:p>
    <w:p>
      <w:pPr>
        <w:widowControl/>
        <w:spacing w:line="560" w:lineRule="exact"/>
        <w:ind w:firstLine="640"/>
        <w:rPr>
          <w:rFonts w:hint="default" w:ascii="Times New Roman" w:hAnsi="Times New Roman" w:eastAsia="仿宋" w:cs="Times New Roman"/>
          <w:color w:val="222222"/>
          <w:kern w:val="0"/>
          <w:sz w:val="32"/>
          <w:szCs w:val="32"/>
        </w:rPr>
      </w:pPr>
      <w:r>
        <w:rPr>
          <w:rFonts w:hint="eastAsia" w:ascii="Times New Roman" w:hAnsi="Times New Roman" w:eastAsia="仿宋" w:cs="Times New Roman"/>
          <w:color w:val="222222"/>
          <w:kern w:val="0"/>
          <w:sz w:val="32"/>
          <w:szCs w:val="32"/>
          <w:lang w:val="en-US" w:eastAsia="zh-CN"/>
        </w:rPr>
        <w:t>3.</w:t>
      </w:r>
      <w:r>
        <w:rPr>
          <w:rFonts w:hint="default" w:ascii="Times New Roman" w:hAnsi="Times New Roman" w:eastAsia="仿宋" w:cs="Times New Roman"/>
          <w:color w:val="222222"/>
          <w:kern w:val="0"/>
          <w:sz w:val="32"/>
          <w:szCs w:val="32"/>
        </w:rPr>
        <w:t>编辑出版《常德年鉴（2019）》。</w:t>
      </w:r>
    </w:p>
    <w:p>
      <w:pPr>
        <w:widowControl/>
        <w:spacing w:line="560" w:lineRule="exact"/>
        <w:ind w:firstLine="640"/>
        <w:rPr>
          <w:rFonts w:hint="default" w:ascii="Times New Roman" w:hAnsi="Times New Roman" w:eastAsia="仿宋" w:cs="Times New Roman"/>
          <w:color w:val="222222"/>
          <w:kern w:val="0"/>
          <w:sz w:val="32"/>
          <w:szCs w:val="32"/>
        </w:rPr>
      </w:pPr>
      <w:r>
        <w:rPr>
          <w:rFonts w:hint="eastAsia" w:ascii="Times New Roman" w:hAnsi="Times New Roman" w:eastAsia="仿宋" w:cs="Times New Roman"/>
          <w:color w:val="222222"/>
          <w:kern w:val="0"/>
          <w:sz w:val="32"/>
          <w:szCs w:val="32"/>
          <w:lang w:val="en-US" w:eastAsia="zh-CN"/>
        </w:rPr>
        <w:t>4.</w:t>
      </w:r>
      <w:r>
        <w:rPr>
          <w:rFonts w:hint="default" w:ascii="Times New Roman" w:hAnsi="Times New Roman" w:eastAsia="仿宋" w:cs="Times New Roman"/>
          <w:color w:val="222222"/>
          <w:kern w:val="0"/>
          <w:sz w:val="32"/>
          <w:szCs w:val="32"/>
        </w:rPr>
        <w:t>校注《武陵县志》，完成标点、断句、注释工作。</w:t>
      </w:r>
    </w:p>
    <w:p>
      <w:pPr>
        <w:widowControl/>
        <w:spacing w:line="560" w:lineRule="exact"/>
        <w:ind w:firstLine="640"/>
        <w:rPr>
          <w:rFonts w:hint="default" w:ascii="Times New Roman" w:hAnsi="Times New Roman" w:eastAsia="黑体" w:cs="Times New Roman"/>
          <w:color w:val="222222"/>
          <w:kern w:val="0"/>
          <w:sz w:val="32"/>
          <w:szCs w:val="32"/>
        </w:rPr>
      </w:pPr>
      <w:r>
        <w:rPr>
          <w:rFonts w:hint="default" w:ascii="Times New Roman" w:hAnsi="Times New Roman" w:eastAsia="黑体" w:cs="Times New Roman"/>
          <w:color w:val="222222"/>
          <w:kern w:val="0"/>
          <w:sz w:val="32"/>
          <w:szCs w:val="32"/>
        </w:rPr>
        <w:t>四、绩效评价工作情况</w:t>
      </w:r>
    </w:p>
    <w:p>
      <w:pPr>
        <w:widowControl/>
        <w:spacing w:line="560" w:lineRule="exact"/>
        <w:ind w:firstLine="640"/>
        <w:rPr>
          <w:rFonts w:hint="default" w:ascii="Times New Roman" w:hAnsi="Times New Roman" w:eastAsia="仿宋" w:cs="Times New Roman"/>
          <w:color w:val="222222"/>
          <w:kern w:val="0"/>
          <w:sz w:val="32"/>
          <w:szCs w:val="32"/>
        </w:rPr>
      </w:pPr>
      <w:r>
        <w:rPr>
          <w:rFonts w:hint="eastAsia" w:ascii="Times New Roman" w:hAnsi="Times New Roman" w:eastAsia="仿宋" w:cs="Times New Roman"/>
          <w:color w:val="222222"/>
          <w:kern w:val="0"/>
          <w:sz w:val="32"/>
          <w:szCs w:val="32"/>
          <w:lang w:eastAsia="zh-CN"/>
        </w:rPr>
        <w:t>市委党史研究室</w:t>
      </w:r>
      <w:r>
        <w:rPr>
          <w:rFonts w:hint="default" w:ascii="Times New Roman" w:hAnsi="Times New Roman" w:eastAsia="仿宋" w:cs="Times New Roman"/>
          <w:color w:val="222222"/>
          <w:kern w:val="0"/>
          <w:sz w:val="32"/>
          <w:szCs w:val="32"/>
        </w:rPr>
        <w:t>在收到市财政局文件常财办发【20</w:t>
      </w:r>
      <w:r>
        <w:rPr>
          <w:rFonts w:hint="eastAsia" w:ascii="Times New Roman" w:hAnsi="Times New Roman" w:eastAsia="仿宋" w:cs="Times New Roman"/>
          <w:color w:val="222222"/>
          <w:kern w:val="0"/>
          <w:sz w:val="32"/>
          <w:szCs w:val="32"/>
          <w:lang w:val="en-US" w:eastAsia="zh-CN"/>
        </w:rPr>
        <w:t>20</w:t>
      </w:r>
      <w:r>
        <w:rPr>
          <w:rFonts w:hint="default" w:ascii="Times New Roman" w:hAnsi="Times New Roman" w:eastAsia="仿宋" w:cs="Times New Roman"/>
          <w:color w:val="222222"/>
          <w:kern w:val="0"/>
          <w:sz w:val="32"/>
          <w:szCs w:val="32"/>
        </w:rPr>
        <w:t>】1</w:t>
      </w:r>
      <w:r>
        <w:rPr>
          <w:rFonts w:hint="eastAsia" w:ascii="Times New Roman" w:hAnsi="Times New Roman" w:eastAsia="仿宋" w:cs="Times New Roman"/>
          <w:color w:val="222222"/>
          <w:kern w:val="0"/>
          <w:sz w:val="32"/>
          <w:szCs w:val="32"/>
          <w:lang w:val="en-US" w:eastAsia="zh-CN"/>
        </w:rPr>
        <w:t>4</w:t>
      </w:r>
      <w:r>
        <w:rPr>
          <w:rFonts w:hint="default" w:ascii="Times New Roman" w:hAnsi="Times New Roman" w:eastAsia="仿宋" w:cs="Times New Roman"/>
          <w:color w:val="222222"/>
          <w:kern w:val="0"/>
          <w:sz w:val="32"/>
          <w:szCs w:val="32"/>
        </w:rPr>
        <w:t>号文件后，随即成立了绩效评价工作组，自20</w:t>
      </w:r>
      <w:r>
        <w:rPr>
          <w:rFonts w:hint="eastAsia" w:ascii="Times New Roman" w:hAnsi="Times New Roman" w:eastAsia="仿宋" w:cs="Times New Roman"/>
          <w:color w:val="222222"/>
          <w:kern w:val="0"/>
          <w:sz w:val="32"/>
          <w:szCs w:val="32"/>
          <w:lang w:val="en-US" w:eastAsia="zh-CN"/>
        </w:rPr>
        <w:t>20</w:t>
      </w:r>
      <w:r>
        <w:rPr>
          <w:rFonts w:hint="default" w:ascii="Times New Roman" w:hAnsi="Times New Roman" w:eastAsia="仿宋" w:cs="Times New Roman"/>
          <w:color w:val="222222"/>
          <w:kern w:val="0"/>
          <w:sz w:val="32"/>
          <w:szCs w:val="32"/>
        </w:rPr>
        <w:t>年</w:t>
      </w:r>
      <w:r>
        <w:rPr>
          <w:rFonts w:hint="eastAsia" w:ascii="Times New Roman" w:hAnsi="Times New Roman" w:eastAsia="仿宋" w:cs="Times New Roman"/>
          <w:color w:val="222222"/>
          <w:kern w:val="0"/>
          <w:sz w:val="32"/>
          <w:szCs w:val="32"/>
          <w:lang w:val="en-US" w:eastAsia="zh-CN"/>
        </w:rPr>
        <w:t>3</w:t>
      </w:r>
      <w:r>
        <w:rPr>
          <w:rFonts w:hint="default" w:ascii="Times New Roman" w:hAnsi="Times New Roman" w:eastAsia="仿宋" w:cs="Times New Roman"/>
          <w:color w:val="222222"/>
          <w:kern w:val="0"/>
          <w:sz w:val="32"/>
          <w:szCs w:val="32"/>
        </w:rPr>
        <w:t>月</w:t>
      </w:r>
      <w:r>
        <w:rPr>
          <w:rFonts w:hint="eastAsia" w:ascii="Times New Roman" w:hAnsi="Times New Roman" w:eastAsia="仿宋" w:cs="Times New Roman"/>
          <w:color w:val="222222"/>
          <w:kern w:val="0"/>
          <w:sz w:val="32"/>
          <w:szCs w:val="32"/>
          <w:lang w:val="en-US" w:eastAsia="zh-CN"/>
        </w:rPr>
        <w:t>30</w:t>
      </w:r>
      <w:r>
        <w:rPr>
          <w:rFonts w:hint="default" w:ascii="Times New Roman" w:hAnsi="Times New Roman" w:eastAsia="仿宋" w:cs="Times New Roman"/>
          <w:color w:val="222222"/>
          <w:kern w:val="0"/>
          <w:sz w:val="32"/>
          <w:szCs w:val="32"/>
        </w:rPr>
        <w:t>日起开始进行了自我整体评价。在评价过程中，结合本单位实际情况，实施了包括听取各科情况介绍、收集相关资料、自查财务会计记录等工作程序，对我</w:t>
      </w:r>
      <w:r>
        <w:rPr>
          <w:rFonts w:hint="eastAsia" w:ascii="Times New Roman" w:hAnsi="Times New Roman" w:eastAsia="仿宋" w:cs="Times New Roman"/>
          <w:color w:val="222222"/>
          <w:kern w:val="0"/>
          <w:sz w:val="32"/>
          <w:szCs w:val="32"/>
          <w:lang w:eastAsia="zh-CN"/>
        </w:rPr>
        <w:t>室</w:t>
      </w:r>
      <w:r>
        <w:rPr>
          <w:rFonts w:hint="default" w:ascii="Times New Roman" w:hAnsi="Times New Roman" w:eastAsia="仿宋" w:cs="Times New Roman"/>
          <w:color w:val="222222"/>
          <w:kern w:val="0"/>
          <w:sz w:val="32"/>
          <w:szCs w:val="32"/>
        </w:rPr>
        <w:t>2018年的工作进行整体自评。</w:t>
      </w:r>
    </w:p>
    <w:p>
      <w:pPr>
        <w:widowControl/>
        <w:numPr>
          <w:ilvl w:val="0"/>
          <w:numId w:val="2"/>
        </w:numPr>
        <w:spacing w:line="560" w:lineRule="exact"/>
        <w:ind w:firstLine="64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综合评价结果</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根据《常德</w:t>
      </w:r>
      <w:r>
        <w:rPr>
          <w:rFonts w:hint="eastAsia" w:ascii="Times New Roman" w:hAnsi="Times New Roman" w:eastAsia="仿宋" w:cs="Times New Roman"/>
          <w:color w:val="222222"/>
          <w:kern w:val="0"/>
          <w:sz w:val="32"/>
          <w:szCs w:val="32"/>
          <w:lang w:eastAsia="zh-CN"/>
        </w:rPr>
        <w:t>市委党史研究室</w:t>
      </w:r>
      <w:r>
        <w:rPr>
          <w:rFonts w:hint="default" w:ascii="Times New Roman" w:hAnsi="Times New Roman" w:eastAsia="仿宋" w:cs="Times New Roman"/>
          <w:color w:val="222222"/>
          <w:kern w:val="0"/>
          <w:sz w:val="32"/>
          <w:szCs w:val="32"/>
        </w:rPr>
        <w:t>部门整体支出绩效评价指标体系》评分，</w:t>
      </w:r>
      <w:r>
        <w:rPr>
          <w:rFonts w:hint="eastAsia" w:ascii="Times New Roman" w:hAnsi="Times New Roman" w:eastAsia="仿宋" w:cs="Times New Roman"/>
          <w:color w:val="222222"/>
          <w:kern w:val="0"/>
          <w:sz w:val="32"/>
          <w:szCs w:val="32"/>
          <w:lang w:eastAsia="zh-CN"/>
        </w:rPr>
        <w:t>市委党史研究室</w:t>
      </w:r>
      <w:r>
        <w:rPr>
          <w:rFonts w:hint="default" w:ascii="Times New Roman" w:hAnsi="Times New Roman" w:eastAsia="仿宋" w:cs="Times New Roman"/>
          <w:color w:val="222222"/>
          <w:kern w:val="0"/>
          <w:sz w:val="32"/>
          <w:szCs w:val="32"/>
          <w:lang w:eastAsia="zh-CN"/>
        </w:rPr>
        <w:t>得分</w:t>
      </w:r>
      <w:r>
        <w:rPr>
          <w:rFonts w:hint="eastAsia" w:ascii="Times New Roman" w:hAnsi="Times New Roman" w:eastAsia="仿宋" w:cs="Times New Roman"/>
          <w:color w:val="222222"/>
          <w:kern w:val="0"/>
          <w:sz w:val="32"/>
          <w:szCs w:val="32"/>
          <w:lang w:val="en-US" w:eastAsia="zh-CN"/>
        </w:rPr>
        <w:t>92.5</w:t>
      </w:r>
      <w:r>
        <w:rPr>
          <w:rFonts w:hint="default" w:ascii="Times New Roman" w:hAnsi="Times New Roman" w:eastAsia="仿宋" w:cs="Times New Roman"/>
          <w:color w:val="222222"/>
          <w:kern w:val="0"/>
          <w:sz w:val="32"/>
          <w:szCs w:val="32"/>
          <w:lang w:eastAsia="zh-CN"/>
        </w:rPr>
        <w:t>分。总的</w:t>
      </w:r>
      <w:r>
        <w:rPr>
          <w:rFonts w:hint="default" w:ascii="Times New Roman" w:hAnsi="Times New Roman" w:eastAsia="仿宋" w:cs="Times New Roman"/>
          <w:color w:val="222222"/>
          <w:kern w:val="0"/>
          <w:sz w:val="32"/>
          <w:szCs w:val="32"/>
        </w:rPr>
        <w:t>来说</w:t>
      </w:r>
      <w:r>
        <w:rPr>
          <w:rFonts w:hint="eastAsia" w:ascii="Times New Roman" w:hAnsi="Times New Roman" w:eastAsia="仿宋" w:cs="Times New Roman"/>
          <w:color w:val="222222"/>
          <w:kern w:val="0"/>
          <w:sz w:val="32"/>
          <w:szCs w:val="32"/>
          <w:lang w:eastAsia="zh-CN"/>
        </w:rPr>
        <w:t>市委党史研究室</w:t>
      </w:r>
      <w:r>
        <w:rPr>
          <w:rFonts w:hint="default" w:ascii="Times New Roman" w:hAnsi="Times New Roman" w:eastAsia="仿宋" w:cs="Times New Roman"/>
          <w:color w:val="222222"/>
          <w:kern w:val="0"/>
          <w:sz w:val="32"/>
          <w:szCs w:val="32"/>
        </w:rPr>
        <w:t>的各项工作推进较好，但部分指标存在失分情况。</w:t>
      </w:r>
    </w:p>
    <w:p>
      <w:pPr>
        <w:widowControl/>
        <w:spacing w:line="560" w:lineRule="exact"/>
        <w:ind w:firstLine="640"/>
        <w:rPr>
          <w:rFonts w:hint="default" w:ascii="Times New Roman" w:hAnsi="Times New Roman" w:eastAsia="黑体" w:cs="Times New Roman"/>
          <w:color w:val="222222"/>
          <w:kern w:val="0"/>
          <w:sz w:val="32"/>
          <w:szCs w:val="32"/>
        </w:rPr>
      </w:pPr>
      <w:r>
        <w:rPr>
          <w:rFonts w:hint="default" w:ascii="Times New Roman" w:hAnsi="Times New Roman" w:eastAsia="黑体" w:cs="Times New Roman"/>
          <w:color w:val="222222"/>
          <w:kern w:val="0"/>
          <w:sz w:val="32"/>
          <w:szCs w:val="32"/>
        </w:rPr>
        <w:t>六、部门整体支出绩效情况</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坚持一手抓党史编纂，一手抓方志编修，史志工作平衡发展，取得良好成效。</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1.党史正本编修取得新进展。一是《中国共产党常德历史（第一卷）》完成修订并送审。正本一卷是《湖湘红色基因文库》工程的重要组成部分，被列为全省样板工程。自2018年4月初启动以来，经过三轮修订，已报送省委党史研究院。二是《中国共产党常德历史（第三卷）》的编修。2019年5月，正本三卷初稿基本形成，全稿共43万字，经审读并提出修改意见后，2019年底完成初稿的第一轮修改。</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2.专题资料编写稳步推进。根据年初制定的工作计划，在全市范围内启动《常德百年党史人物》资料征编，目前已收集整理常德籍党史人物资料100余篇。本室开展林伯渠、王尔琢党史人物专题征研，赴陕西、江西以及常德相关各区县开展人物调研，查阅、收集了大量的档案、文本资料，11月份已成稿。</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3.第二轮部门志书编纂工作继续推进。2019年，组织专家评审志稿2部，终审验收志稿4部。截至2019年11月底，全市部门志书已出版印刷43部，还有5部志稿未完成编纂工作。同时，先后对科技局、商务局、海关、住建局、交通局、水利局、国资委、林业局、经信委、文广体新局、统战部等未完成修志任务和存在现实困难的单位进行了电话督导、上门督导和现场指导。</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4.“常德文库”建设。按照“常德文库”建设方案，继续进行清同治《武陵县志》的整理、点校、出版工作。截至2019年11月底，已全部完成标点、断句、正字、注音、释义等工作。</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5.编辑出版四期《常德古今》。《常德古今》2019年开辟了“家风家训”栏目，根据纪念五四运动100周年、</w:t>
      </w:r>
      <w:bookmarkStart w:id="0" w:name="_GoBack"/>
      <w:r>
        <w:rPr>
          <w:rFonts w:hint="default" w:ascii="Times New Roman" w:hAnsi="Times New Roman" w:eastAsia="仿宋" w:cs="Times New Roman"/>
          <w:color w:val="222222"/>
          <w:kern w:val="0"/>
          <w:sz w:val="32"/>
          <w:szCs w:val="32"/>
        </w:rPr>
        <w:t>纪念</w:t>
      </w:r>
      <w:bookmarkEnd w:id="0"/>
      <w:r>
        <w:rPr>
          <w:rFonts w:hint="default" w:ascii="Times New Roman" w:hAnsi="Times New Roman" w:eastAsia="仿宋" w:cs="Times New Roman"/>
          <w:color w:val="222222"/>
          <w:kern w:val="0"/>
          <w:sz w:val="32"/>
          <w:szCs w:val="32"/>
        </w:rPr>
        <w:t>常德解放70周年、</w:t>
      </w:r>
      <w:r>
        <w:rPr>
          <w:rFonts w:hint="eastAsia" w:ascii="Times New Roman" w:hAnsi="Times New Roman" w:eastAsia="仿宋" w:cs="Times New Roman"/>
          <w:color w:val="222222"/>
          <w:kern w:val="0"/>
          <w:sz w:val="32"/>
          <w:szCs w:val="32"/>
          <w:lang w:eastAsia="zh-CN"/>
        </w:rPr>
        <w:t>庆祝</w:t>
      </w:r>
      <w:r>
        <w:rPr>
          <w:rFonts w:hint="default" w:ascii="Times New Roman" w:hAnsi="Times New Roman" w:eastAsia="仿宋" w:cs="Times New Roman"/>
          <w:color w:val="222222"/>
          <w:kern w:val="0"/>
          <w:sz w:val="32"/>
          <w:szCs w:val="32"/>
        </w:rPr>
        <w:t>中华人民共和国成立70周年等相关时间节点增设了“激情岁月”“图说历史”“时空回眸”栏目，四期共发表文章75篇、简讯21篇，总计27万余字。</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6.其他志书评审工作。组织评审《隆子县志》，并于7月10日赴藏参加湖南省对口帮扶修志评审会。会后，对《隆子县志》编修工作进行现场业务指导，并与相关修志人员就《隆子县志》后续环节工作进行深入探讨。</w:t>
      </w:r>
    </w:p>
    <w:p>
      <w:pPr>
        <w:widowControl/>
        <w:spacing w:line="560" w:lineRule="exact"/>
        <w:ind w:firstLine="640"/>
        <w:rPr>
          <w:rFonts w:hint="default" w:ascii="Times New Roman" w:hAnsi="Times New Roman" w:eastAsia="仿宋" w:cs="Times New Roman"/>
          <w:color w:val="222222"/>
          <w:kern w:val="0"/>
          <w:sz w:val="32"/>
          <w:szCs w:val="32"/>
        </w:rPr>
      </w:pPr>
      <w:r>
        <w:rPr>
          <w:rFonts w:hint="default" w:ascii="Times New Roman" w:hAnsi="Times New Roman" w:eastAsia="仿宋" w:cs="Times New Roman"/>
          <w:color w:val="222222"/>
          <w:kern w:val="0"/>
          <w:sz w:val="32"/>
          <w:szCs w:val="32"/>
        </w:rPr>
        <w:t>7.年鉴工作。《常德年鉴（2018）》卷已于2019年12月出版印刷，全书124万字。</w:t>
      </w:r>
    </w:p>
    <w:p>
      <w:pPr>
        <w:widowControl/>
        <w:spacing w:line="560" w:lineRule="exact"/>
        <w:ind w:firstLine="640"/>
        <w:rPr>
          <w:rFonts w:hint="eastAsia" w:ascii="Times New Roman" w:hAnsi="Times New Roman" w:eastAsia="黑体" w:cs="Times New Roman"/>
          <w:color w:val="222222"/>
          <w:kern w:val="0"/>
          <w:sz w:val="32"/>
          <w:szCs w:val="32"/>
          <w:lang w:val="en-US" w:eastAsia="zh-CN"/>
        </w:rPr>
      </w:pPr>
      <w:r>
        <w:rPr>
          <w:rFonts w:hint="default" w:ascii="Times New Roman" w:hAnsi="Times New Roman" w:eastAsia="黑体" w:cs="Times New Roman"/>
          <w:color w:val="222222"/>
          <w:kern w:val="0"/>
          <w:sz w:val="32"/>
          <w:szCs w:val="32"/>
        </w:rPr>
        <w:t>七、存在的主要问题</w:t>
      </w:r>
      <w:r>
        <w:rPr>
          <w:rFonts w:hint="eastAsia" w:ascii="Times New Roman" w:hAnsi="Times New Roman" w:eastAsia="黑体" w:cs="Times New Roman"/>
          <w:color w:val="222222"/>
          <w:kern w:val="0"/>
          <w:sz w:val="32"/>
          <w:szCs w:val="32"/>
          <w:lang w:val="en-US" w:eastAsia="zh-CN"/>
        </w:rPr>
        <w:t>及原因分析</w:t>
      </w:r>
    </w:p>
    <w:p>
      <w:pPr>
        <w:widowControl/>
        <w:spacing w:line="560" w:lineRule="exact"/>
        <w:ind w:firstLine="640"/>
        <w:rPr>
          <w:rFonts w:hint="default" w:ascii="Times New Roman" w:hAnsi="Times New Roman" w:eastAsia="仿宋" w:cs="Times New Roman"/>
          <w:color w:val="222222"/>
          <w:kern w:val="0"/>
          <w:sz w:val="32"/>
          <w:szCs w:val="32"/>
          <w:lang w:val="en-US" w:eastAsia="zh-CN"/>
        </w:rPr>
      </w:pPr>
      <w:r>
        <w:rPr>
          <w:rFonts w:hint="default" w:ascii="Times New Roman" w:hAnsi="Times New Roman" w:eastAsia="仿宋" w:cs="Times New Roman"/>
          <w:color w:val="222222"/>
          <w:kern w:val="0"/>
          <w:sz w:val="32"/>
          <w:szCs w:val="32"/>
          <w:lang w:val="en-US" w:eastAsia="zh-CN"/>
        </w:rPr>
        <w:t>1</w:t>
      </w:r>
      <w:r>
        <w:rPr>
          <w:rFonts w:hint="eastAsia" w:ascii="Times New Roman" w:hAnsi="Times New Roman" w:eastAsia="仿宋" w:cs="Times New Roman"/>
          <w:color w:val="222222"/>
          <w:kern w:val="0"/>
          <w:sz w:val="32"/>
          <w:szCs w:val="32"/>
          <w:lang w:val="en-US" w:eastAsia="zh-CN"/>
        </w:rPr>
        <w:t>.</w:t>
      </w:r>
      <w:r>
        <w:rPr>
          <w:rFonts w:hint="default" w:ascii="Times New Roman" w:hAnsi="Times New Roman" w:eastAsia="仿宋" w:cs="Times New Roman"/>
          <w:color w:val="222222"/>
          <w:kern w:val="0"/>
          <w:sz w:val="32"/>
          <w:szCs w:val="32"/>
          <w:lang w:val="en-US" w:eastAsia="zh-CN"/>
        </w:rPr>
        <w:t>账务处理有待进一步规范。经费支出核算中， 部分实际发生的项目支出没有在报表中体现，导致“项目支出”存在预算与决算的差距。</w:t>
      </w:r>
    </w:p>
    <w:p>
      <w:pPr>
        <w:widowControl/>
        <w:spacing w:line="560" w:lineRule="exact"/>
        <w:ind w:firstLine="640"/>
        <w:rPr>
          <w:rFonts w:hint="eastAsia" w:ascii="Times New Roman" w:hAnsi="Times New Roman" w:eastAsia="仿宋" w:cs="Times New Roman"/>
          <w:color w:val="222222"/>
          <w:kern w:val="0"/>
          <w:sz w:val="32"/>
          <w:szCs w:val="32"/>
          <w:lang w:val="en-US" w:eastAsia="zh-CN"/>
        </w:rPr>
      </w:pPr>
      <w:r>
        <w:rPr>
          <w:rFonts w:hint="eastAsia" w:ascii="Times New Roman" w:hAnsi="Times New Roman" w:eastAsia="仿宋" w:cs="Times New Roman"/>
          <w:color w:val="222222"/>
          <w:kern w:val="0"/>
          <w:sz w:val="32"/>
          <w:szCs w:val="32"/>
          <w:lang w:val="en-US" w:eastAsia="zh-CN"/>
        </w:rPr>
        <w:t>2.预算编制有待进一步精确。2019年的收入在预算数基础上追加了51.92万元，主要原因一方面是正常调资和归口管理的行政单位离退休科目增加，另一方面是项目经费追加。因此在编制部门预算的时候，需更加精准、科学。</w:t>
      </w:r>
    </w:p>
    <w:p>
      <w:pPr>
        <w:widowControl/>
        <w:spacing w:line="560" w:lineRule="exact"/>
        <w:ind w:firstLine="640"/>
        <w:rPr>
          <w:rFonts w:hint="default" w:ascii="Times New Roman" w:hAnsi="Times New Roman" w:eastAsia="仿宋" w:cs="Times New Roman"/>
          <w:color w:val="222222"/>
          <w:kern w:val="0"/>
          <w:sz w:val="32"/>
          <w:szCs w:val="32"/>
          <w:lang w:val="en-US" w:eastAsia="zh-CN"/>
        </w:rPr>
      </w:pPr>
      <w:r>
        <w:rPr>
          <w:rFonts w:hint="eastAsia" w:ascii="Times New Roman" w:hAnsi="Times New Roman" w:eastAsia="仿宋" w:cs="Times New Roman"/>
          <w:color w:val="222222"/>
          <w:kern w:val="0"/>
          <w:sz w:val="32"/>
          <w:szCs w:val="32"/>
          <w:lang w:val="en-US" w:eastAsia="zh-CN"/>
        </w:rPr>
        <w:t>3.旧志整理点校工作没有列入常年预算项目。编辑出版历代方志集成，分类整理旧志资料是地方志工作的主要内容。省政府办公厅以湘政办发〔2016〕11号文件《湖南省关于进一步加强地方志工作的意见》要求：做好旧志、谱牒等地方志资料和各种文献调查摸底、征集上报、分类整理和归档管理，有计划地整理出版旧志集成。由于市财政一直未安排该项目经费，市党史研究室（地方志编纂室）只能从其他工作经费中挤占调剂，甚至采取2-3年完成一部和减少印数的办法勉强推进，陷入捉襟见肘、难以为继的被动局面。</w:t>
      </w:r>
    </w:p>
    <w:p>
      <w:pPr>
        <w:widowControl/>
        <w:spacing w:line="560" w:lineRule="exact"/>
        <w:ind w:firstLine="64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八、有关建议</w:t>
      </w:r>
    </w:p>
    <w:p>
      <w:pPr>
        <w:widowControl/>
        <w:spacing w:line="560" w:lineRule="exact"/>
        <w:ind w:firstLine="640"/>
        <w:rPr>
          <w:rFonts w:hint="eastAsia" w:ascii="Times New Roman" w:hAnsi="Times New Roman" w:eastAsia="仿宋" w:cs="Times New Roman"/>
          <w:color w:val="222222"/>
          <w:kern w:val="0"/>
          <w:sz w:val="32"/>
          <w:szCs w:val="32"/>
          <w:lang w:val="en-US" w:eastAsia="zh-CN"/>
        </w:rPr>
      </w:pPr>
      <w:r>
        <w:rPr>
          <w:rFonts w:hint="eastAsia" w:ascii="Times New Roman" w:hAnsi="Times New Roman" w:eastAsia="仿宋" w:cs="Times New Roman"/>
          <w:color w:val="222222"/>
          <w:kern w:val="0"/>
          <w:sz w:val="32"/>
          <w:szCs w:val="32"/>
          <w:lang w:val="en-US" w:eastAsia="zh-CN"/>
        </w:rPr>
        <w:t>1.“项目支出”明细科目下应当严格按照《政府收支分类科目》中“支出经济分类科目”的款级科目进行明细核算。同时在“项目支出”明细科目下按照具体项目进行明细核算。</w:t>
      </w:r>
    </w:p>
    <w:p>
      <w:pPr>
        <w:widowControl/>
        <w:spacing w:line="560" w:lineRule="exact"/>
        <w:ind w:firstLine="640"/>
        <w:rPr>
          <w:rFonts w:hint="eastAsia" w:ascii="Times New Roman" w:hAnsi="Times New Roman" w:eastAsia="仿宋" w:cs="Times New Roman"/>
          <w:color w:val="222222"/>
          <w:kern w:val="0"/>
          <w:sz w:val="32"/>
          <w:szCs w:val="32"/>
          <w:lang w:val="en-US" w:eastAsia="zh-CN"/>
        </w:rPr>
      </w:pPr>
      <w:r>
        <w:rPr>
          <w:rFonts w:hint="eastAsia" w:ascii="Times New Roman" w:hAnsi="Times New Roman" w:eastAsia="仿宋" w:cs="Times New Roman"/>
          <w:color w:val="222222"/>
          <w:kern w:val="0"/>
          <w:sz w:val="32"/>
          <w:szCs w:val="32"/>
          <w:lang w:val="en-US" w:eastAsia="zh-CN"/>
        </w:rPr>
        <w:t>2.更加科学合理的编制部门预算，希望财政部门年初将正常调资和离退休增加的经费纳入预算编制，同时为我办新增旧志整理点校专项经费，纳入常年预算。</w:t>
      </w:r>
    </w:p>
    <w:p>
      <w:pPr>
        <w:autoSpaceDE w:val="0"/>
        <w:spacing w:line="600" w:lineRule="exact"/>
        <w:ind w:firstLine="640" w:firstLineChars="200"/>
        <w:rPr>
          <w:rFonts w:hint="default" w:ascii="Times New Roman" w:hAnsi="Times New Roman" w:eastAsia="黑体" w:cs="Times New Roman"/>
          <w:color w:val="000000"/>
          <w:sz w:val="32"/>
          <w:szCs w:val="32"/>
        </w:rPr>
      </w:pPr>
      <w:r>
        <w:rPr>
          <w:rFonts w:hint="eastAsia" w:ascii="仿宋_GB2312" w:hAnsi="仿宋_GB2312" w:eastAsia="仿宋_GB2312" w:cs="仿宋_GB2312"/>
          <w:sz w:val="32"/>
          <w:szCs w:val="32"/>
        </w:rPr>
        <w:br w:type="page"/>
      </w:r>
    </w:p>
    <w:tbl>
      <w:tblPr>
        <w:tblStyle w:val="12"/>
        <w:tblpPr w:leftFromText="180" w:rightFromText="180" w:vertAnchor="text" w:horzAnchor="page" w:tblpXSpec="center" w:tblpY="-58"/>
        <w:tblOverlap w:val="never"/>
        <w:tblW w:w="9429" w:type="dxa"/>
        <w:jc w:val="center"/>
        <w:tblBorders>
          <w:top w:val="none" w:color="auto" w:sz="0" w:space="0"/>
          <w:left w:val="none" w:color="auto" w:sz="0" w:space="0"/>
          <w:bottom w:val="single" w:color="000000" w:sz="4"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561"/>
        <w:gridCol w:w="585"/>
        <w:gridCol w:w="652"/>
        <w:gridCol w:w="365"/>
        <w:gridCol w:w="3373"/>
        <w:gridCol w:w="3237"/>
        <w:gridCol w:w="656"/>
      </w:tblGrid>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58" w:hRule="atLeast"/>
          <w:tblHeader/>
          <w:jc w:val="center"/>
        </w:trPr>
        <w:tc>
          <w:tcPr>
            <w:tcW w:w="9429" w:type="dxa"/>
            <w:gridSpan w:val="7"/>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jc w:val="center"/>
              <w:textAlignment w:val="auto"/>
              <w:rPr>
                <w:rFonts w:hint="eastAsia" w:ascii="Times New Roman" w:hAnsi="Times New Roman" w:eastAsia="黑体" w:cs="Times New Roman"/>
                <w:b w:val="0"/>
                <w:bCs/>
                <w:i w:val="0"/>
                <w:color w:val="000000"/>
                <w:kern w:val="0"/>
                <w:sz w:val="24"/>
                <w:szCs w:val="24"/>
                <w:u w:val="none"/>
                <w:lang w:val="en-US" w:eastAsia="zh-CN" w:bidi="ar"/>
              </w:rPr>
            </w:pPr>
            <w:r>
              <w:rPr>
                <w:rFonts w:hint="default" w:ascii="Times New Roman" w:hAnsi="Times New Roman" w:eastAsia="方正小标宋_GBK" w:cs="Times New Roman"/>
                <w:kern w:val="0"/>
                <w:sz w:val="36"/>
                <w:szCs w:val="36"/>
              </w:rPr>
              <w:t>部门整体支出绩效评价指标表</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58" w:hRule="atLeast"/>
          <w:tblHeader/>
          <w:jc w:val="center"/>
        </w:trPr>
        <w:tc>
          <w:tcPr>
            <w:tcW w:w="56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黑体" w:cs="Times New Roman"/>
                <w:b w:val="0"/>
                <w:bCs/>
                <w:i w:val="0"/>
                <w:color w:val="000000"/>
                <w:sz w:val="24"/>
                <w:szCs w:val="24"/>
                <w:u w:val="none"/>
              </w:rPr>
            </w:pPr>
            <w:r>
              <w:rPr>
                <w:rFonts w:hint="default" w:ascii="Times New Roman" w:hAnsi="Times New Roman" w:eastAsia="黑体" w:cs="Times New Roman"/>
                <w:b w:val="0"/>
                <w:bCs/>
                <w:i w:val="0"/>
                <w:color w:val="000000"/>
                <w:kern w:val="0"/>
                <w:sz w:val="24"/>
                <w:szCs w:val="24"/>
                <w:u w:val="none"/>
                <w:lang w:val="en-US" w:eastAsia="zh-CN" w:bidi="ar"/>
              </w:rPr>
              <w:t>一级</w:t>
            </w:r>
            <w:r>
              <w:rPr>
                <w:rFonts w:hint="default" w:ascii="Times New Roman" w:hAnsi="Times New Roman" w:eastAsia="黑体" w:cs="Times New Roman"/>
                <w:b w:val="0"/>
                <w:bCs/>
                <w:i w:val="0"/>
                <w:color w:val="000000"/>
                <w:kern w:val="0"/>
                <w:sz w:val="24"/>
                <w:szCs w:val="24"/>
                <w:u w:val="none"/>
                <w:lang w:val="en-US" w:eastAsia="zh-CN" w:bidi="ar"/>
              </w:rPr>
              <w:br w:type="textWrapping"/>
            </w:r>
            <w:r>
              <w:rPr>
                <w:rFonts w:hint="default" w:ascii="Times New Roman" w:hAnsi="Times New Roman" w:eastAsia="黑体" w:cs="Times New Roman"/>
                <w:b w:val="0"/>
                <w:bCs/>
                <w:i w:val="0"/>
                <w:color w:val="000000"/>
                <w:kern w:val="0"/>
                <w:sz w:val="24"/>
                <w:szCs w:val="24"/>
                <w:u w:val="none"/>
                <w:lang w:val="en-US" w:eastAsia="zh-CN" w:bidi="ar"/>
              </w:rPr>
              <w:t>指标</w:t>
            </w:r>
          </w:p>
        </w:tc>
        <w:tc>
          <w:tcPr>
            <w:tcW w:w="58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b w:val="0"/>
                <w:bCs/>
                <w:i w:val="0"/>
                <w:color w:val="000000"/>
                <w:sz w:val="24"/>
                <w:szCs w:val="24"/>
                <w:u w:val="none"/>
              </w:rPr>
            </w:pPr>
            <w:r>
              <w:rPr>
                <w:rFonts w:hint="default" w:ascii="Times New Roman" w:hAnsi="Times New Roman" w:eastAsia="黑体" w:cs="Times New Roman"/>
                <w:b w:val="0"/>
                <w:bCs/>
                <w:i w:val="0"/>
                <w:color w:val="000000"/>
                <w:kern w:val="0"/>
                <w:sz w:val="24"/>
                <w:szCs w:val="24"/>
                <w:u w:val="none"/>
                <w:lang w:val="en-US" w:eastAsia="zh-CN" w:bidi="ar"/>
              </w:rPr>
              <w:t>二级</w:t>
            </w:r>
            <w:r>
              <w:rPr>
                <w:rFonts w:hint="default" w:ascii="Times New Roman" w:hAnsi="Times New Roman" w:eastAsia="黑体" w:cs="Times New Roman"/>
                <w:b w:val="0"/>
                <w:bCs/>
                <w:i w:val="0"/>
                <w:color w:val="000000"/>
                <w:kern w:val="0"/>
                <w:sz w:val="24"/>
                <w:szCs w:val="24"/>
                <w:u w:val="none"/>
                <w:lang w:val="en-US" w:eastAsia="zh-CN" w:bidi="ar"/>
              </w:rPr>
              <w:br w:type="textWrapping"/>
            </w:r>
            <w:r>
              <w:rPr>
                <w:rFonts w:hint="default" w:ascii="Times New Roman" w:hAnsi="Times New Roman" w:eastAsia="黑体" w:cs="Times New Roman"/>
                <w:b w:val="0"/>
                <w:bCs/>
                <w:i w:val="0"/>
                <w:color w:val="000000"/>
                <w:kern w:val="0"/>
                <w:sz w:val="24"/>
                <w:szCs w:val="24"/>
                <w:u w:val="none"/>
                <w:lang w:val="en-US" w:eastAsia="zh-CN" w:bidi="ar"/>
              </w:rPr>
              <w:t>指标</w:t>
            </w: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b w:val="0"/>
                <w:bCs/>
                <w:i w:val="0"/>
                <w:color w:val="000000"/>
                <w:kern w:val="0"/>
                <w:sz w:val="24"/>
                <w:szCs w:val="24"/>
                <w:u w:val="none"/>
                <w:lang w:val="en-US" w:eastAsia="zh-CN" w:bidi="ar"/>
              </w:rPr>
            </w:pPr>
            <w:r>
              <w:rPr>
                <w:rFonts w:hint="default" w:ascii="Times New Roman" w:hAnsi="Times New Roman" w:eastAsia="黑体" w:cs="Times New Roman"/>
                <w:b w:val="0"/>
                <w:bCs/>
                <w:i w:val="0"/>
                <w:color w:val="000000"/>
                <w:kern w:val="0"/>
                <w:sz w:val="24"/>
                <w:szCs w:val="24"/>
                <w:u w:val="none"/>
                <w:lang w:val="en-US" w:eastAsia="zh-CN" w:bidi="ar"/>
              </w:rPr>
              <w:t>三级</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b w:val="0"/>
                <w:bCs/>
                <w:i w:val="0"/>
                <w:color w:val="000000"/>
                <w:sz w:val="24"/>
                <w:szCs w:val="24"/>
                <w:u w:val="none"/>
              </w:rPr>
            </w:pPr>
            <w:r>
              <w:rPr>
                <w:rFonts w:hint="default" w:ascii="Times New Roman" w:hAnsi="Times New Roman" w:eastAsia="黑体" w:cs="Times New Roman"/>
                <w:b w:val="0"/>
                <w:bCs/>
                <w:i w:val="0"/>
                <w:color w:val="000000"/>
                <w:kern w:val="0"/>
                <w:sz w:val="24"/>
                <w:szCs w:val="24"/>
                <w:u w:val="none"/>
                <w:lang w:val="en-US" w:eastAsia="zh-CN" w:bidi="ar"/>
              </w:rPr>
              <w:t>指标</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b w:val="0"/>
                <w:bCs/>
                <w:i w:val="0"/>
                <w:color w:val="000000"/>
                <w:sz w:val="24"/>
                <w:szCs w:val="24"/>
                <w:u w:val="none"/>
              </w:rPr>
            </w:pPr>
            <w:r>
              <w:rPr>
                <w:rFonts w:hint="default" w:ascii="Times New Roman" w:hAnsi="Times New Roman" w:eastAsia="黑体" w:cs="Times New Roman"/>
                <w:b w:val="0"/>
                <w:bCs/>
                <w:i w:val="0"/>
                <w:color w:val="000000"/>
                <w:kern w:val="0"/>
                <w:sz w:val="24"/>
                <w:szCs w:val="24"/>
                <w:u w:val="none"/>
                <w:lang w:val="en-US" w:eastAsia="zh-CN" w:bidi="ar"/>
              </w:rPr>
              <w:t>分值</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b w:val="0"/>
                <w:bCs/>
                <w:i w:val="0"/>
                <w:color w:val="000000"/>
                <w:sz w:val="24"/>
                <w:szCs w:val="24"/>
                <w:u w:val="none"/>
              </w:rPr>
            </w:pPr>
            <w:r>
              <w:rPr>
                <w:rFonts w:hint="default" w:ascii="Times New Roman" w:hAnsi="Times New Roman" w:eastAsia="黑体" w:cs="Times New Roman"/>
                <w:b w:val="0"/>
                <w:bCs/>
                <w:i w:val="0"/>
                <w:color w:val="000000"/>
                <w:kern w:val="0"/>
                <w:sz w:val="24"/>
                <w:szCs w:val="24"/>
                <w:u w:val="none"/>
                <w:lang w:val="en-US" w:eastAsia="zh-CN" w:bidi="ar"/>
              </w:rPr>
              <w:t>指标解释</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b w:val="0"/>
                <w:bCs/>
                <w:i w:val="0"/>
                <w:color w:val="000000"/>
                <w:sz w:val="24"/>
                <w:szCs w:val="24"/>
                <w:u w:val="none"/>
              </w:rPr>
            </w:pPr>
            <w:r>
              <w:rPr>
                <w:rFonts w:hint="default" w:ascii="Times New Roman" w:hAnsi="Times New Roman" w:eastAsia="黑体" w:cs="Times New Roman"/>
                <w:b w:val="0"/>
                <w:bCs/>
                <w:i w:val="0"/>
                <w:color w:val="000000"/>
                <w:kern w:val="0"/>
                <w:sz w:val="24"/>
                <w:szCs w:val="24"/>
                <w:u w:val="none"/>
                <w:lang w:val="en-US" w:eastAsia="zh-CN" w:bidi="ar"/>
              </w:rPr>
              <w:t>评分标准</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黑体" w:cs="Times New Roman"/>
                <w:b w:val="0"/>
                <w:bCs/>
                <w:i w:val="0"/>
                <w:color w:val="000000"/>
                <w:kern w:val="0"/>
                <w:sz w:val="24"/>
                <w:szCs w:val="24"/>
                <w:u w:val="none"/>
                <w:lang w:val="en-US" w:eastAsia="zh-CN" w:bidi="ar"/>
              </w:rPr>
            </w:pPr>
            <w:r>
              <w:rPr>
                <w:rFonts w:hint="eastAsia" w:ascii="Times New Roman" w:hAnsi="Times New Roman" w:eastAsia="黑体" w:cs="Times New Roman"/>
                <w:b w:val="0"/>
                <w:bCs/>
                <w:i w:val="0"/>
                <w:color w:val="000000"/>
                <w:kern w:val="0"/>
                <w:sz w:val="24"/>
                <w:szCs w:val="24"/>
                <w:u w:val="none"/>
                <w:lang w:val="en-US" w:eastAsia="zh-CN" w:bidi="ar"/>
              </w:rPr>
              <w:t>自评</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b w:val="0"/>
                <w:bCs/>
                <w:i w:val="0"/>
                <w:color w:val="000000"/>
                <w:kern w:val="0"/>
                <w:sz w:val="24"/>
                <w:szCs w:val="24"/>
                <w:u w:val="none"/>
                <w:lang w:val="en-US" w:eastAsia="zh-CN" w:bidi="ar"/>
              </w:rPr>
            </w:pPr>
            <w:r>
              <w:rPr>
                <w:rFonts w:hint="eastAsia" w:ascii="Times New Roman" w:hAnsi="Times New Roman" w:eastAsia="黑体" w:cs="Times New Roman"/>
                <w:b w:val="0"/>
                <w:bCs/>
                <w:i w:val="0"/>
                <w:color w:val="000000"/>
                <w:kern w:val="0"/>
                <w:sz w:val="24"/>
                <w:szCs w:val="24"/>
                <w:u w:val="none"/>
                <w:lang w:val="en-US" w:eastAsia="zh-CN" w:bidi="ar"/>
              </w:rPr>
              <w:t>得分</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60" w:hRule="atLeast"/>
          <w:jc w:val="center"/>
        </w:trPr>
        <w:tc>
          <w:tcPr>
            <w:tcW w:w="561" w:type="dxa"/>
            <w:vMerge w:val="restart"/>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投   入</w:t>
            </w:r>
          </w:p>
        </w:tc>
        <w:tc>
          <w:tcPr>
            <w:tcW w:w="585" w:type="dxa"/>
            <w:vMerge w:val="restart"/>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目标</w:t>
            </w:r>
            <w:r>
              <w:rPr>
                <w:rFonts w:hint="default" w:ascii="Times New Roman" w:hAnsi="Times New Roman" w:eastAsia="仿宋" w:cs="Times New Roman"/>
                <w:i w:val="0"/>
                <w:color w:val="000000"/>
                <w:kern w:val="0"/>
                <w:sz w:val="24"/>
                <w:szCs w:val="24"/>
                <w:u w:val="none"/>
                <w:lang w:val="en-US" w:eastAsia="zh-CN" w:bidi="ar"/>
              </w:rPr>
              <w:br w:type="textWrapping"/>
            </w:r>
            <w:r>
              <w:rPr>
                <w:rFonts w:hint="default" w:ascii="Times New Roman" w:hAnsi="Times New Roman" w:eastAsia="仿宋" w:cs="Times New Roman"/>
                <w:i w:val="0"/>
                <w:color w:val="000000"/>
                <w:kern w:val="0"/>
                <w:sz w:val="24"/>
                <w:szCs w:val="24"/>
                <w:u w:val="none"/>
                <w:lang w:val="en-US" w:eastAsia="zh-CN" w:bidi="ar"/>
              </w:rPr>
              <w:t>设定</w:t>
            </w: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绩效目标合理性</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部门（单位）所设立的整体绩效目标依据是否充分，是否符合客观实际，用以反映和考核部门（单位）整体绩效目标与部门履职、年度工作任务的相符性情况。</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①符合国家法律法规、国民经济和社会发展总体规划，得1分；</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②符合部门职责，得1分；</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③符合部门制定的中长期实施规划，得3分。</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5</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00"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 w:cs="Times New Roman"/>
                <w:i w:val="0"/>
                <w:color w:val="000000"/>
                <w:sz w:val="24"/>
                <w:szCs w:val="24"/>
                <w:u w:val="none"/>
              </w:rPr>
            </w:pPr>
          </w:p>
        </w:tc>
        <w:tc>
          <w:tcPr>
            <w:tcW w:w="585"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 w:cs="Times New Roman"/>
                <w:i w:val="0"/>
                <w:color w:val="000000"/>
                <w:sz w:val="24"/>
                <w:szCs w:val="24"/>
                <w:u w:val="none"/>
              </w:rPr>
            </w:pP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绩效指标明确性</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7</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部门（单位）依据整体绩效目标所设定的绩效指标是否清晰、细化、可衡量，用以反映和考核部门（单位）整体绩效目标的明细化情况。</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①将部门整体的绩效目标细化分解为具体的工作任务，得1分；</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②通过清晰、可衡量的指标值予以体现，得2分；</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③与部门年度的任务数或计划数相对应，得2分；</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④与本年度部门预算资金相匹配，得2分。</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7</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2738"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 w:cs="Times New Roman"/>
                <w:i w:val="0"/>
                <w:color w:val="000000"/>
                <w:sz w:val="24"/>
                <w:szCs w:val="24"/>
                <w:u w:val="none"/>
              </w:rPr>
            </w:pPr>
          </w:p>
        </w:tc>
        <w:tc>
          <w:tcPr>
            <w:tcW w:w="585" w:type="dxa"/>
            <w:vMerge w:val="restart"/>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预算</w:t>
            </w:r>
            <w:r>
              <w:rPr>
                <w:rFonts w:hint="default" w:ascii="Times New Roman" w:hAnsi="Times New Roman" w:eastAsia="仿宋" w:cs="Times New Roman"/>
                <w:i w:val="0"/>
                <w:color w:val="000000"/>
                <w:kern w:val="0"/>
                <w:sz w:val="24"/>
                <w:szCs w:val="24"/>
                <w:u w:val="none"/>
                <w:lang w:val="en-US" w:eastAsia="zh-CN" w:bidi="ar"/>
              </w:rPr>
              <w:br w:type="textWrapping"/>
            </w:r>
            <w:r>
              <w:rPr>
                <w:rFonts w:hint="default" w:ascii="Times New Roman" w:hAnsi="Times New Roman" w:eastAsia="仿宋" w:cs="Times New Roman"/>
                <w:i w:val="0"/>
                <w:color w:val="000000"/>
                <w:kern w:val="0"/>
                <w:sz w:val="24"/>
                <w:szCs w:val="24"/>
                <w:u w:val="none"/>
                <w:lang w:val="en-US" w:eastAsia="zh-CN" w:bidi="ar"/>
              </w:rPr>
              <w:t>配置</w:t>
            </w: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在职人员控制率</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3</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在职人员控制率=（在职人员数/编制数）×100%。</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在职人员数：部门（单位）实际在职人数，以财政部</w:t>
            </w:r>
            <w:r>
              <w:rPr>
                <w:rFonts w:hint="eastAsia" w:ascii="Times New Roman" w:hAnsi="Times New Roman" w:eastAsia="仿宋" w:cs="Times New Roman"/>
                <w:i w:val="0"/>
                <w:color w:val="000000"/>
                <w:kern w:val="0"/>
                <w:sz w:val="24"/>
                <w:szCs w:val="24"/>
                <w:u w:val="none"/>
                <w:lang w:val="en-US" w:eastAsia="zh-CN" w:bidi="ar"/>
              </w:rPr>
              <w:t>门</w:t>
            </w:r>
            <w:r>
              <w:rPr>
                <w:rFonts w:hint="default" w:ascii="Times New Roman" w:hAnsi="Times New Roman" w:eastAsia="仿宋" w:cs="Times New Roman"/>
                <w:i w:val="0"/>
                <w:color w:val="000000"/>
                <w:kern w:val="0"/>
                <w:sz w:val="24"/>
                <w:szCs w:val="24"/>
                <w:u w:val="none"/>
                <w:lang w:val="en-US" w:eastAsia="zh-CN" w:bidi="ar"/>
              </w:rPr>
              <w:t>确定的部门决算编制口径为准。扣掉编制部门和劳动部门批复同意的临聘人员。</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编制数：机构编制部门核定批复的部门（单位）的人员编制数。</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在职人员控制率≤100%，得3分；</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每超过一个百分点扣0.5分，扣完为止。</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3</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2090"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 w:cs="Times New Roman"/>
                <w:i w:val="0"/>
                <w:color w:val="000000"/>
                <w:sz w:val="24"/>
                <w:szCs w:val="24"/>
                <w:u w:val="none"/>
              </w:rPr>
            </w:pPr>
          </w:p>
        </w:tc>
        <w:tc>
          <w:tcPr>
            <w:tcW w:w="585"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 w:cs="Times New Roman"/>
                <w:i w:val="0"/>
                <w:color w:val="000000"/>
                <w:sz w:val="24"/>
                <w:szCs w:val="24"/>
                <w:u w:val="none"/>
              </w:rPr>
            </w:pP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“三公经费”变动率</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“三公经费”变动率=[（本年度“三公经费”预算数-上年度“三公经费”预算数）/上年度“三公经费”预算数]×100%。</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“三公经费”：年度预算安排的因公出国（境）费、公务车辆购置及运行费和公务招待费。</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“三公经费”变动率≤0，得5分；</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每超过一个百分点扣0.5分，扣完为止。</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5</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2875"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 w:cs="Times New Roman"/>
                <w:i w:val="0"/>
                <w:color w:val="000000"/>
                <w:sz w:val="24"/>
                <w:szCs w:val="24"/>
                <w:u w:val="none"/>
              </w:rPr>
            </w:pPr>
          </w:p>
        </w:tc>
        <w:tc>
          <w:tcPr>
            <w:tcW w:w="585"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 w:cs="Times New Roman"/>
                <w:i w:val="0"/>
                <w:color w:val="000000"/>
                <w:sz w:val="24"/>
                <w:szCs w:val="24"/>
                <w:u w:val="none"/>
              </w:rPr>
            </w:pP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重点支出安排率</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重点支出安排率=（重点项目支出/项目总支出）×100%。</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重点项目支出：部门（单位）年度预算安排的，与本部门履职和发展密切相关、具有明显社会和经济影响、党委政府关心或社会比较关注的项目支出总额。</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项目总支出：部门（单位）年度预算安排的项目支出总额。</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重点支出安排率≥90%，得5分；</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80%（含）-90%，得4分；</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70%（含）-80%，得3分；</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60%（含）-70%，得2分；</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＜60%，得0分。</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5</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60" w:hRule="atLeast"/>
          <w:jc w:val="center"/>
        </w:trPr>
        <w:tc>
          <w:tcPr>
            <w:tcW w:w="561" w:type="dxa"/>
            <w:vMerge w:val="restart"/>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过   程</w:t>
            </w:r>
          </w:p>
        </w:tc>
        <w:tc>
          <w:tcPr>
            <w:tcW w:w="585" w:type="dxa"/>
            <w:vMerge w:val="restart"/>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预算</w:t>
            </w:r>
            <w:r>
              <w:rPr>
                <w:rFonts w:hint="default" w:ascii="Times New Roman" w:hAnsi="Times New Roman" w:eastAsia="仿宋" w:cs="Times New Roman"/>
                <w:i w:val="0"/>
                <w:color w:val="000000"/>
                <w:kern w:val="0"/>
                <w:sz w:val="24"/>
                <w:szCs w:val="24"/>
                <w:u w:val="none"/>
                <w:lang w:val="en-US" w:eastAsia="zh-CN" w:bidi="ar"/>
              </w:rPr>
              <w:br w:type="textWrapping"/>
            </w:r>
            <w:r>
              <w:rPr>
                <w:rFonts w:hint="default" w:ascii="Times New Roman" w:hAnsi="Times New Roman" w:eastAsia="仿宋" w:cs="Times New Roman"/>
                <w:i w:val="0"/>
                <w:color w:val="000000"/>
                <w:kern w:val="0"/>
                <w:sz w:val="24"/>
                <w:szCs w:val="24"/>
                <w:u w:val="none"/>
                <w:lang w:val="en-US" w:eastAsia="zh-CN" w:bidi="ar"/>
              </w:rPr>
              <w:t>执行</w:t>
            </w: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预算完成率</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4</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预算完成率=（上年结转+年初预算+本年追加-年末结余）/（上年结转+年初预算+本年追加）×100%。</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预算完成率≥95%，得4分；</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每降低5%，扣1分，扣完为止。</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3</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60"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585"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预算调整率</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预算调整率=（本年追加预算/年初预算）×100%。</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本年追加预算：部门（单位）在本年度内涉及预算的追加资金总和（因落实国家政策、发生不可抗力、上级部门或本级党委政府临时交办而产生的调整除外）。</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预算调整率≤5%，得2分；</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5%-10%（含），得1.5分；</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10%-15%（含），得1分；</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15%-20%（含），得0.5分；</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＞20%，得0分。</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1.5</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20"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585"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新建楼堂馆所面积控制率</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楼堂馆所面积控制率=实际建设面积/批准建设面积×100% 。</w:t>
            </w:r>
            <w:r>
              <w:rPr>
                <w:rFonts w:hint="default" w:ascii="Times New Roman" w:hAnsi="Times New Roman" w:eastAsia="仿宋" w:cs="Times New Roman"/>
                <w:i w:val="0"/>
                <w:color w:val="000000"/>
                <w:kern w:val="0"/>
                <w:sz w:val="24"/>
                <w:szCs w:val="24"/>
                <w:u w:val="none"/>
                <w:lang w:val="en-US" w:eastAsia="zh-CN" w:bidi="ar"/>
              </w:rPr>
              <w:br w:type="textWrapping"/>
            </w:r>
            <w:r>
              <w:rPr>
                <w:rFonts w:hint="default" w:ascii="Times New Roman" w:hAnsi="Times New Roman" w:eastAsia="仿宋" w:cs="Times New Roman"/>
                <w:i w:val="0"/>
                <w:color w:val="000000"/>
                <w:kern w:val="0"/>
                <w:sz w:val="24"/>
                <w:szCs w:val="24"/>
                <w:u w:val="none"/>
                <w:lang w:val="en-US" w:eastAsia="zh-CN" w:bidi="ar"/>
              </w:rPr>
              <w:t>该指标以20××年完工的新建楼堂馆所为评价内容。</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楼堂馆所面积控制率≤100%，得2分；</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每超出5%扣1分，扣完为止。</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没有楼梯馆所项目的部门剔除此项指标。</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2</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2309"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585"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新建楼堂馆所投资概算控制率</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楼堂馆所投资预算控制率=实际投资金额/批准投资金额×100% 。</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该指标以20</w:t>
            </w:r>
            <w:r>
              <w:rPr>
                <w:rFonts w:hint="eastAsia" w:ascii="Times New Roman" w:hAnsi="Times New Roman" w:eastAsia="仿宋" w:cs="Times New Roman"/>
                <w:i w:val="0"/>
                <w:color w:val="000000"/>
                <w:kern w:val="0"/>
                <w:sz w:val="24"/>
                <w:szCs w:val="24"/>
                <w:u w:val="none"/>
                <w:lang w:val="en-US" w:eastAsia="zh-CN" w:bidi="ar"/>
              </w:rPr>
              <w:t>19</w:t>
            </w:r>
            <w:r>
              <w:rPr>
                <w:rFonts w:hint="default" w:ascii="Times New Roman" w:hAnsi="Times New Roman" w:eastAsia="仿宋" w:cs="Times New Roman"/>
                <w:i w:val="0"/>
                <w:color w:val="000000"/>
                <w:kern w:val="0"/>
                <w:sz w:val="24"/>
                <w:szCs w:val="24"/>
                <w:u w:val="none"/>
                <w:lang w:val="en-US" w:eastAsia="zh-CN" w:bidi="ar"/>
              </w:rPr>
              <w:t>年完工的新建楼堂馆所为评价内容。</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楼堂馆所面积控制率≤100%，得2分；</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每超出5%扣1分，扣完为止。</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没有楼梯馆所项目的部门剔除此项指标。</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2</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91"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585"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公用经费控制率</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公用经费控制率=（实际支出公用经费总额/预算安排公用经费总额）×100%。</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公用经费控制率≤100%，得2分；</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每超过5%，扣1分，扣完为止。</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0</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78"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585"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“三公经费”控制率</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“三公经费”控制率=（“三公经费”实际支出数/“三公经费”预算安排数）×100%。</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“三公经费”控制率≤100%，得2分；</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每超过5%，扣1分，扣完为止。</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2</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2528"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585"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政府采购执行率</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政府采购执行率=（实际政府采购金额/政府采购预算数）×100%；</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 xml:space="preserve">政府采购预算：采购机关根据事业发展计划和行政任务编制的、并经过规定程序批准的年度政府采购计划。 </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政府采购执行率=100%，得2分；</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每超过（降低）5%，扣1分，扣完为止。</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2</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310"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585" w:type="dxa"/>
            <w:vMerge w:val="restart"/>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预算</w:t>
            </w:r>
            <w:r>
              <w:rPr>
                <w:rFonts w:hint="default" w:ascii="Times New Roman" w:hAnsi="Times New Roman" w:eastAsia="仿宋" w:cs="Times New Roman"/>
                <w:i w:val="0"/>
                <w:color w:val="000000"/>
                <w:kern w:val="0"/>
                <w:sz w:val="24"/>
                <w:szCs w:val="24"/>
                <w:u w:val="none"/>
                <w:lang w:val="en-US" w:eastAsia="zh-CN" w:bidi="ar"/>
              </w:rPr>
              <w:br w:type="textWrapping"/>
            </w:r>
            <w:r>
              <w:rPr>
                <w:rFonts w:hint="default" w:ascii="Times New Roman" w:hAnsi="Times New Roman" w:eastAsia="仿宋" w:cs="Times New Roman"/>
                <w:i w:val="0"/>
                <w:color w:val="000000"/>
                <w:kern w:val="0"/>
                <w:sz w:val="24"/>
                <w:szCs w:val="24"/>
                <w:u w:val="none"/>
                <w:lang w:val="en-US" w:eastAsia="zh-CN" w:bidi="ar"/>
              </w:rPr>
              <w:t>管理</w:t>
            </w: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管理制度健全性</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①是否已制定或具有预算资金管理办法、内部财务管理制度、会计核算制度、本部门厉行节约制度等管理制度；</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②相关管理制度是否合法、合规、完整；</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③相关管理制度是否得到有效执行。</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每发现一类不合规问题，扣1分，扣完为止。</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2</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3468"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585"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资金使用合规性</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①是否符合国家财经法规和财务管理制度规定以及有关专项资金管理办法的规定；</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②资金的拨付是否有完整的审批程序和手续；</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③项目的重大开支是否经过评估论证；</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④是否符合部门预算批复的用途；</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⑤是否存在截留、挤占、挪用、虚列支出等情况。</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每发现一类不合规问题，扣1分，扣完为止。</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5</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2243"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585"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预决算信息公开性</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①是否按规定内容、规定时限公开预决算信息；</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both"/>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②基础数据信息和会计信息资料是否真实、完整、准确。预决算信息是指与部门预算、执行、决算、监督、绩效等管理相关的信息。</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①按规定内容、规定时限公开预决算信息，得1分；</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②基础数据信息和会计信息资料真实、完整、准确，得1分。</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每发现一类不合规问题，扣1分，扣完为止。</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2</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20"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585" w:type="dxa"/>
            <w:vMerge w:val="restart"/>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资产</w:t>
            </w:r>
            <w:r>
              <w:rPr>
                <w:rFonts w:hint="default" w:ascii="Times New Roman" w:hAnsi="Times New Roman" w:eastAsia="仿宋" w:cs="Times New Roman"/>
                <w:i w:val="0"/>
                <w:color w:val="000000"/>
                <w:kern w:val="0"/>
                <w:sz w:val="24"/>
                <w:szCs w:val="24"/>
                <w:u w:val="none"/>
                <w:lang w:val="en-US" w:eastAsia="zh-CN" w:bidi="ar"/>
              </w:rPr>
              <w:br w:type="textWrapping"/>
            </w:r>
            <w:r>
              <w:rPr>
                <w:rFonts w:hint="default" w:ascii="Times New Roman" w:hAnsi="Times New Roman" w:eastAsia="仿宋" w:cs="Times New Roman"/>
                <w:i w:val="0"/>
                <w:color w:val="000000"/>
                <w:kern w:val="0"/>
                <w:sz w:val="24"/>
                <w:szCs w:val="24"/>
                <w:u w:val="none"/>
                <w:lang w:val="en-US" w:eastAsia="zh-CN" w:bidi="ar"/>
              </w:rPr>
              <w:t>管理</w:t>
            </w: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管理制度健全性</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是否已制定或具有资产管理制度；相关资金管理制度是否合法、合规、完整；相关资产管理制度是否得到有效执行。</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①已制定或具有资产管理制度，相关资金管理制度合法、合规、完整。得0.5分；</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 xml:space="preserve"> ②相关资产管理制度得到有效执行，得0.5分。</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1</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468"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585"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资产管理安全性</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资产是否保存完整、使用合规、配置合理、处置规范、收入及时足额上缴。</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①资产保存完整、配置合理、处置规范，得0.5分；</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②资产账务管理合规，帐实相符，得0.5分；</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1</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2261"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585"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固定资产利用率</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实际在用固定资产总额与所有固定资产总额的比率，用以反映和考核部门（单位）固定资产使用效率程度。</w:t>
            </w:r>
            <w:r>
              <w:rPr>
                <w:rFonts w:hint="default" w:ascii="Times New Roman" w:hAnsi="Times New Roman" w:eastAsia="仿宋" w:cs="Times New Roman"/>
                <w:i w:val="0"/>
                <w:color w:val="000000"/>
                <w:kern w:val="0"/>
                <w:sz w:val="24"/>
                <w:szCs w:val="24"/>
                <w:u w:val="none"/>
                <w:lang w:val="en-US" w:eastAsia="zh-CN" w:bidi="ar"/>
              </w:rPr>
              <w:br w:type="textWrapping"/>
            </w:r>
            <w:r>
              <w:rPr>
                <w:rFonts w:hint="default" w:ascii="Times New Roman" w:hAnsi="Times New Roman" w:eastAsia="仿宋" w:cs="Times New Roman"/>
                <w:i w:val="0"/>
                <w:color w:val="000000"/>
                <w:kern w:val="0"/>
                <w:sz w:val="24"/>
                <w:szCs w:val="24"/>
                <w:u w:val="none"/>
                <w:lang w:val="en-US" w:eastAsia="zh-CN" w:bidi="ar"/>
              </w:rPr>
              <w:t>固定资产利用率=（实际在用固定资产总额/所有固定资产总额）×100%。</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固定资产利用率=100%，得1分；</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每低于1%，扣0.1分，扣完为止。</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1</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561" w:type="dxa"/>
            <w:vMerge w:val="restart"/>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产   出</w:t>
            </w:r>
          </w:p>
        </w:tc>
        <w:tc>
          <w:tcPr>
            <w:tcW w:w="585" w:type="dxa"/>
            <w:vMerge w:val="restart"/>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职责</w:t>
            </w:r>
            <w:r>
              <w:rPr>
                <w:rFonts w:hint="default" w:ascii="Times New Roman" w:hAnsi="Times New Roman" w:eastAsia="仿宋" w:cs="Times New Roman"/>
                <w:i w:val="0"/>
                <w:color w:val="000000"/>
                <w:kern w:val="0"/>
                <w:sz w:val="24"/>
                <w:szCs w:val="24"/>
                <w:u w:val="none"/>
                <w:lang w:val="en-US" w:eastAsia="zh-CN" w:bidi="ar"/>
              </w:rPr>
              <w:br w:type="textWrapping"/>
            </w:r>
            <w:r>
              <w:rPr>
                <w:rFonts w:hint="default" w:ascii="Times New Roman" w:hAnsi="Times New Roman" w:eastAsia="仿宋" w:cs="Times New Roman"/>
                <w:i w:val="0"/>
                <w:color w:val="000000"/>
                <w:kern w:val="0"/>
                <w:sz w:val="24"/>
                <w:szCs w:val="24"/>
                <w:u w:val="none"/>
                <w:lang w:val="en-US" w:eastAsia="zh-CN" w:bidi="ar"/>
              </w:rPr>
              <w:t>履行</w:t>
            </w: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个性化指标</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17</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40" w:firstLineChars="100"/>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从实际完成率、完成及时率、质量达标率等方面设置</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40" w:firstLineChars="100"/>
              <w:rPr>
                <w:rFonts w:hint="default" w:ascii="Times New Roman" w:hAnsi="Times New Roman" w:eastAsia="仿宋" w:cs="Times New Roman"/>
                <w:i w:val="0"/>
                <w:color w:val="000000"/>
                <w:sz w:val="24"/>
                <w:szCs w:val="24"/>
                <w:u w:val="none"/>
              </w:rPr>
            </w:pP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40" w:firstLineChars="100"/>
              <w:rPr>
                <w:rFonts w:hint="default" w:ascii="Times New Roman" w:hAnsi="Times New Roman" w:eastAsia="仿宋" w:cs="Times New Roman"/>
                <w:i w:val="0"/>
                <w:color w:val="000000"/>
                <w:sz w:val="24"/>
                <w:szCs w:val="24"/>
                <w:u w:val="none"/>
                <w:lang w:val="en-US" w:eastAsia="zh-CN"/>
              </w:rPr>
            </w:pPr>
            <w:r>
              <w:rPr>
                <w:rFonts w:hint="eastAsia" w:ascii="Times New Roman" w:hAnsi="Times New Roman" w:eastAsia="仿宋" w:cs="Times New Roman"/>
                <w:i w:val="0"/>
                <w:color w:val="000000"/>
                <w:sz w:val="24"/>
                <w:szCs w:val="24"/>
                <w:u w:val="none"/>
                <w:lang w:val="en-US" w:eastAsia="zh-CN"/>
              </w:rPr>
              <w:t>15</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60"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585"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重点工作办结率</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部门（单位）年度重点工作实际完成数与交办或下达数的比率，用以反映部门（单位）对重点工作的办理落实程度。</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重点工作办结率=（重点工作实际完成数/交办或下达数）×100%。</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重点工作是指党委、政府、人大、相关部门交办或下达的工作任务。</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5</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17" w:hRule="atLeast"/>
          <w:jc w:val="center"/>
        </w:trPr>
        <w:tc>
          <w:tcPr>
            <w:tcW w:w="561" w:type="dxa"/>
            <w:vMerge w:val="restart"/>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效   果</w:t>
            </w:r>
          </w:p>
        </w:tc>
        <w:tc>
          <w:tcPr>
            <w:tcW w:w="585" w:type="dxa"/>
            <w:vMerge w:val="restart"/>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履职</w:t>
            </w:r>
            <w:r>
              <w:rPr>
                <w:rFonts w:hint="default" w:ascii="Times New Roman" w:hAnsi="Times New Roman" w:eastAsia="仿宋" w:cs="Times New Roman"/>
                <w:i w:val="0"/>
                <w:color w:val="000000"/>
                <w:kern w:val="0"/>
                <w:sz w:val="24"/>
                <w:szCs w:val="24"/>
                <w:u w:val="none"/>
                <w:lang w:val="en-US" w:eastAsia="zh-CN" w:bidi="ar"/>
              </w:rPr>
              <w:br w:type="textWrapping"/>
            </w:r>
            <w:r>
              <w:rPr>
                <w:rFonts w:hint="default" w:ascii="Times New Roman" w:hAnsi="Times New Roman" w:eastAsia="仿宋" w:cs="Times New Roman"/>
                <w:i w:val="0"/>
                <w:color w:val="000000"/>
                <w:kern w:val="0"/>
                <w:sz w:val="24"/>
                <w:szCs w:val="24"/>
                <w:u w:val="none"/>
                <w:lang w:val="en-US" w:eastAsia="zh-CN" w:bidi="ar"/>
              </w:rPr>
              <w:t>效益</w:t>
            </w: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经济效益</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部门（单位）履行职责对经济发展所带来的直接或间接影响。</w:t>
            </w:r>
          </w:p>
        </w:tc>
        <w:tc>
          <w:tcPr>
            <w:tcW w:w="3237" w:type="dxa"/>
            <w:vMerge w:val="restart"/>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此三项指标为设置部门整体支出绩效评价指标时必须考虑的共性要素，可根据部门实际并结合部门整体支出绩效目标设立情况有选择的进行设置，并将其细化为相应的个性化指标。</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5</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43"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585"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社会效益</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部门（单位）履行职责对社会发展所带来的直接或间接影响。</w:t>
            </w:r>
          </w:p>
        </w:tc>
        <w:tc>
          <w:tcPr>
            <w:tcW w:w="3237"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40" w:firstLineChars="100"/>
              <w:jc w:val="left"/>
              <w:rPr>
                <w:rFonts w:hint="default" w:ascii="Times New Roman" w:hAnsi="Times New Roman" w:eastAsia="仿宋" w:cs="Times New Roman"/>
                <w:i w:val="0"/>
                <w:color w:val="000000"/>
                <w:sz w:val="24"/>
                <w:szCs w:val="24"/>
                <w:u w:val="none"/>
              </w:rPr>
            </w:pP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40" w:firstLineChars="100"/>
              <w:jc w:val="left"/>
              <w:rPr>
                <w:rFonts w:hint="eastAsia" w:ascii="Times New Roman" w:hAnsi="Times New Roman" w:eastAsia="仿宋" w:cs="Times New Roman"/>
                <w:i w:val="0"/>
                <w:color w:val="000000"/>
                <w:sz w:val="24"/>
                <w:szCs w:val="24"/>
                <w:u w:val="none"/>
                <w:lang w:val="en-US" w:eastAsia="zh-CN"/>
              </w:rPr>
            </w:pPr>
            <w:r>
              <w:rPr>
                <w:rFonts w:hint="eastAsia" w:ascii="Times New Roman" w:hAnsi="Times New Roman" w:eastAsia="仿宋" w:cs="Times New Roman"/>
                <w:i w:val="0"/>
                <w:color w:val="000000"/>
                <w:sz w:val="24"/>
                <w:szCs w:val="24"/>
                <w:u w:val="none"/>
                <w:lang w:val="en-US" w:eastAsia="zh-CN"/>
              </w:rPr>
              <w:t>5</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5"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585"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生态效益</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部门（单位）履行职责对生态环境所带来的直接或间接影响。</w:t>
            </w:r>
          </w:p>
        </w:tc>
        <w:tc>
          <w:tcPr>
            <w:tcW w:w="3237"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40" w:firstLineChars="100"/>
              <w:jc w:val="left"/>
              <w:rPr>
                <w:rFonts w:hint="default" w:ascii="Times New Roman" w:hAnsi="Times New Roman" w:eastAsia="仿宋" w:cs="Times New Roman"/>
                <w:i w:val="0"/>
                <w:color w:val="000000"/>
                <w:sz w:val="24"/>
                <w:szCs w:val="24"/>
                <w:u w:val="none"/>
              </w:rPr>
            </w:pP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40" w:firstLineChars="100"/>
              <w:jc w:val="left"/>
              <w:rPr>
                <w:rFonts w:hint="eastAsia" w:ascii="Times New Roman" w:hAnsi="Times New Roman" w:eastAsia="仿宋" w:cs="Times New Roman"/>
                <w:i w:val="0"/>
                <w:color w:val="000000"/>
                <w:sz w:val="24"/>
                <w:szCs w:val="24"/>
                <w:u w:val="none"/>
                <w:lang w:val="en-US" w:eastAsia="zh-CN"/>
              </w:rPr>
            </w:pPr>
            <w:r>
              <w:rPr>
                <w:rFonts w:hint="eastAsia" w:ascii="Times New Roman" w:hAnsi="Times New Roman" w:eastAsia="仿宋" w:cs="Times New Roman"/>
                <w:i w:val="0"/>
                <w:color w:val="000000"/>
                <w:sz w:val="24"/>
                <w:szCs w:val="24"/>
                <w:u w:val="none"/>
                <w:lang w:val="en-US" w:eastAsia="zh-CN"/>
              </w:rPr>
              <w:t>5</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93"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585"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行政效能</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政府对机关工作实施情况的具体评价，以年度政府考核结果为依据。</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优秀计5分，良好计3分，合格计1分，不合格计0分。</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3</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2005" w:hRule="atLeast"/>
          <w:jc w:val="center"/>
        </w:trPr>
        <w:tc>
          <w:tcPr>
            <w:tcW w:w="561" w:type="dxa"/>
            <w:vMerge w:val="continue"/>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585" w:type="dxa"/>
            <w:vMerge w:val="continue"/>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6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社会公众或服务对象满意度</w:t>
            </w: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w:t>
            </w:r>
          </w:p>
        </w:tc>
        <w:tc>
          <w:tcPr>
            <w:tcW w:w="337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社会公众或部门（单位）的服务对象对部门履职效果的满意程度。</w:t>
            </w:r>
            <w:r>
              <w:rPr>
                <w:rFonts w:hint="default" w:ascii="Times New Roman" w:hAnsi="Times New Roman" w:eastAsia="仿宋" w:cs="Times New Roman"/>
                <w:i w:val="0"/>
                <w:color w:val="000000"/>
                <w:kern w:val="0"/>
                <w:sz w:val="24"/>
                <w:szCs w:val="24"/>
                <w:u w:val="none"/>
                <w:lang w:val="en-US" w:eastAsia="zh-CN" w:bidi="ar"/>
              </w:rPr>
              <w:br w:type="textWrapping"/>
            </w:r>
            <w:r>
              <w:rPr>
                <w:rFonts w:hint="default" w:ascii="Times New Roman" w:hAnsi="Times New Roman" w:eastAsia="仿宋" w:cs="Times New Roman"/>
                <w:i w:val="0"/>
                <w:color w:val="000000"/>
                <w:kern w:val="0"/>
                <w:sz w:val="24"/>
                <w:szCs w:val="24"/>
                <w:u w:val="none"/>
                <w:lang w:val="en-US" w:eastAsia="zh-CN" w:bidi="ar"/>
              </w:rPr>
              <w:t>社会公众或服务对象是指部门（单位）履行职责而影响到的部门、群体或个人。</w:t>
            </w:r>
          </w:p>
        </w:tc>
        <w:tc>
          <w:tcPr>
            <w:tcW w:w="323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≥90%，得5分；</w:t>
            </w:r>
          </w:p>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每降低1%，扣0.5分，扣完为止。</w:t>
            </w:r>
          </w:p>
        </w:tc>
        <w:tc>
          <w:tcPr>
            <w:tcW w:w="65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240" w:firstLineChars="100"/>
              <w:jc w:val="left"/>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ascii="Times New Roman" w:hAnsi="Times New Roman" w:eastAsia="仿宋" w:cs="Times New Roman"/>
                <w:i w:val="0"/>
                <w:color w:val="000000"/>
                <w:kern w:val="0"/>
                <w:sz w:val="24"/>
                <w:szCs w:val="24"/>
                <w:u w:val="none"/>
                <w:lang w:val="en-US" w:eastAsia="zh-CN" w:bidi="ar"/>
              </w:rPr>
              <w:t>5</w:t>
            </w:r>
          </w:p>
        </w:tc>
      </w:tr>
      <w:tr>
        <w:tblPrEx>
          <w:tblBorders>
            <w:top w:val="none" w:color="auto" w:sz="0" w:space="0"/>
            <w:left w:val="none" w:color="auto" w:sz="0" w:space="0"/>
            <w:bottom w:val="single" w:color="000000" w:sz="4"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65" w:hRule="atLeast"/>
          <w:jc w:val="center"/>
        </w:trPr>
        <w:tc>
          <w:tcPr>
            <w:tcW w:w="1146" w:type="dxa"/>
            <w:gridSpan w:val="2"/>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合计</w:t>
            </w:r>
          </w:p>
        </w:tc>
        <w:tc>
          <w:tcPr>
            <w:tcW w:w="652"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 w:cs="Times New Roman"/>
                <w:i w:val="0"/>
                <w:color w:val="000000"/>
                <w:sz w:val="24"/>
                <w:szCs w:val="24"/>
                <w:u w:val="none"/>
              </w:rPr>
            </w:pPr>
          </w:p>
        </w:tc>
        <w:tc>
          <w:tcPr>
            <w:tcW w:w="3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1"/>
                <w:szCs w:val="21"/>
                <w:u w:val="none"/>
                <w:lang w:val="en-US" w:eastAsia="zh-CN" w:bidi="ar"/>
              </w:rPr>
              <w:t>100</w:t>
            </w:r>
          </w:p>
        </w:tc>
        <w:tc>
          <w:tcPr>
            <w:tcW w:w="3373"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rPr>
                <w:rFonts w:hint="default" w:ascii="Times New Roman" w:hAnsi="Times New Roman" w:eastAsia="仿宋" w:cs="Times New Roman"/>
                <w:i w:val="0"/>
                <w:color w:val="000000"/>
                <w:sz w:val="24"/>
                <w:szCs w:val="24"/>
                <w:u w:val="none"/>
              </w:rPr>
            </w:pPr>
          </w:p>
        </w:tc>
        <w:tc>
          <w:tcPr>
            <w:tcW w:w="3237"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40" w:firstLineChars="100"/>
              <w:rPr>
                <w:rFonts w:hint="default" w:ascii="Times New Roman" w:hAnsi="Times New Roman" w:eastAsia="仿宋" w:cs="Times New Roman"/>
                <w:i w:val="0"/>
                <w:color w:val="000000"/>
                <w:sz w:val="24"/>
                <w:szCs w:val="24"/>
                <w:u w:val="none"/>
              </w:rPr>
            </w:pPr>
          </w:p>
        </w:tc>
        <w:tc>
          <w:tcPr>
            <w:tcW w:w="656"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20" w:firstLineChars="100"/>
              <w:rPr>
                <w:rFonts w:hint="default" w:ascii="Times New Roman" w:hAnsi="Times New Roman" w:eastAsia="仿宋" w:cs="Times New Roman"/>
                <w:i w:val="0"/>
                <w:color w:val="000000"/>
                <w:sz w:val="24"/>
                <w:szCs w:val="24"/>
                <w:u w:val="none"/>
                <w:lang w:val="en-US" w:eastAsia="zh-CN"/>
              </w:rPr>
            </w:pPr>
            <w:r>
              <w:rPr>
                <w:rFonts w:hint="eastAsia" w:ascii="Times New Roman" w:hAnsi="Times New Roman" w:eastAsia="仿宋" w:cs="Times New Roman"/>
                <w:i w:val="0"/>
                <w:color w:val="000000"/>
                <w:sz w:val="22"/>
                <w:szCs w:val="22"/>
                <w:u w:val="none"/>
                <w:lang w:val="en-US" w:eastAsia="zh-CN"/>
              </w:rPr>
              <w:t>92.5</w:t>
            </w:r>
          </w:p>
        </w:tc>
      </w:tr>
    </w:tbl>
    <w:p>
      <w:pPr>
        <w:spacing w:line="560" w:lineRule="exact"/>
        <w:jc w:val="center"/>
        <w:rPr>
          <w:rFonts w:hint="default" w:ascii="Times New Roman" w:hAnsi="Times New Roman" w:eastAsia="黑体" w:cs="Times New Roman"/>
          <w:kern w:val="0"/>
          <w:sz w:val="32"/>
          <w:szCs w:val="32"/>
        </w:rPr>
      </w:pPr>
      <w:r>
        <w:rPr>
          <w:rFonts w:hint="default" w:ascii="Times New Roman" w:hAnsi="Times New Roman" w:eastAsia="黑体" w:cs="Times New Roman"/>
          <w:sz w:val="28"/>
          <w:szCs w:val="28"/>
        </w:rPr>
        <w:br w:type="page"/>
      </w:r>
      <w:r>
        <w:rPr>
          <w:rFonts w:hint="default" w:ascii="Times New Roman" w:hAnsi="Times New Roman" w:eastAsia="方正小标宋_GBK" w:cs="Times New Roman"/>
          <w:kern w:val="0"/>
          <w:sz w:val="36"/>
          <w:szCs w:val="36"/>
        </w:rPr>
        <w:t>部门整体支出绩效评价基础数据表</w:t>
      </w:r>
    </w:p>
    <w:p>
      <w:pPr>
        <w:widowControl/>
        <w:tabs>
          <w:tab w:val="left" w:pos="3611"/>
          <w:tab w:val="left" w:pos="4791"/>
          <w:tab w:val="left" w:pos="5951"/>
          <w:tab w:val="left" w:pos="7071"/>
          <w:tab w:val="left" w:pos="8191"/>
          <w:tab w:val="left" w:pos="9311"/>
        </w:tabs>
        <w:ind w:left="91"/>
        <w:jc w:val="left"/>
        <w:rPr>
          <w:rFonts w:hint="default" w:ascii="Times New Roman" w:hAnsi="Times New Roman" w:eastAsia="仿宋_GB2312" w:cs="Times New Roman"/>
          <w:kern w:val="0"/>
          <w:sz w:val="24"/>
          <w:szCs w:val="24"/>
        </w:rPr>
      </w:pPr>
      <w:r>
        <w:rPr>
          <w:rFonts w:hint="default" w:ascii="Times New Roman" w:hAnsi="Times New Roman" w:eastAsia="仿宋" w:cs="Times New Roman"/>
          <w:kern w:val="0"/>
          <w:sz w:val="24"/>
          <w:szCs w:val="24"/>
        </w:rPr>
        <w:t>填报单位：</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ab/>
      </w:r>
    </w:p>
    <w:tbl>
      <w:tblPr>
        <w:tblStyle w:val="12"/>
        <w:tblW w:w="0" w:type="auto"/>
        <w:jc w:val="center"/>
        <w:tblLayout w:type="fixed"/>
        <w:tblCellMar>
          <w:top w:w="0" w:type="dxa"/>
          <w:left w:w="108" w:type="dxa"/>
          <w:bottom w:w="0" w:type="dxa"/>
          <w:right w:w="108" w:type="dxa"/>
        </w:tblCellMar>
      </w:tblPr>
      <w:tblGrid>
        <w:gridCol w:w="3322"/>
        <w:gridCol w:w="1106"/>
        <w:gridCol w:w="750"/>
        <w:gridCol w:w="934"/>
        <w:gridCol w:w="1050"/>
        <w:gridCol w:w="1009"/>
        <w:gridCol w:w="948"/>
      </w:tblGrid>
      <w:tr>
        <w:tblPrEx>
          <w:tblCellMar>
            <w:top w:w="0" w:type="dxa"/>
            <w:left w:w="108" w:type="dxa"/>
            <w:bottom w:w="0" w:type="dxa"/>
            <w:right w:w="108" w:type="dxa"/>
          </w:tblCellMar>
        </w:tblPrEx>
        <w:trPr>
          <w:trHeight w:val="417" w:hRule="atLeast"/>
          <w:jc w:val="center"/>
        </w:trPr>
        <w:tc>
          <w:tcPr>
            <w:tcW w:w="332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财政供养人员情况</w:t>
            </w:r>
          </w:p>
        </w:tc>
        <w:tc>
          <w:tcPr>
            <w:tcW w:w="1856"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bCs/>
                <w:kern w:val="0"/>
                <w:sz w:val="24"/>
                <w:szCs w:val="24"/>
              </w:rPr>
            </w:pPr>
            <w:r>
              <w:rPr>
                <w:rFonts w:hint="default" w:ascii="Times New Roman" w:hAnsi="Times New Roman" w:eastAsia="仿宋" w:cs="Times New Roman"/>
                <w:bCs/>
                <w:kern w:val="0"/>
                <w:sz w:val="24"/>
                <w:szCs w:val="24"/>
              </w:rPr>
              <w:t>编制数</w:t>
            </w:r>
          </w:p>
        </w:tc>
        <w:tc>
          <w:tcPr>
            <w:tcW w:w="1984"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bCs/>
                <w:kern w:val="0"/>
                <w:sz w:val="24"/>
                <w:szCs w:val="24"/>
              </w:rPr>
            </w:pPr>
            <w:r>
              <w:rPr>
                <w:rFonts w:hint="default" w:ascii="Times New Roman" w:hAnsi="Times New Roman" w:eastAsia="仿宋" w:cs="Times New Roman"/>
                <w:bCs/>
                <w:kern w:val="0"/>
                <w:sz w:val="24"/>
                <w:szCs w:val="24"/>
              </w:rPr>
              <w:t>201</w:t>
            </w:r>
            <w:r>
              <w:rPr>
                <w:rFonts w:hint="eastAsia" w:ascii="Times New Roman" w:hAnsi="Times New Roman" w:eastAsia="仿宋" w:cs="Times New Roman"/>
                <w:bCs/>
                <w:kern w:val="0"/>
                <w:sz w:val="24"/>
                <w:szCs w:val="24"/>
                <w:lang w:val="en-US" w:eastAsia="zh-CN"/>
              </w:rPr>
              <w:t>9</w:t>
            </w:r>
            <w:r>
              <w:rPr>
                <w:rFonts w:hint="default" w:ascii="Times New Roman" w:hAnsi="Times New Roman" w:eastAsia="仿宋" w:cs="Times New Roman"/>
                <w:bCs/>
                <w:kern w:val="0"/>
                <w:sz w:val="24"/>
                <w:szCs w:val="24"/>
              </w:rPr>
              <w:t>年实际</w:t>
            </w:r>
          </w:p>
          <w:p>
            <w:pPr>
              <w:widowControl/>
              <w:jc w:val="center"/>
              <w:rPr>
                <w:rFonts w:hint="default" w:ascii="Times New Roman" w:hAnsi="Times New Roman" w:eastAsia="仿宋" w:cs="Times New Roman"/>
                <w:bCs/>
                <w:kern w:val="0"/>
                <w:sz w:val="24"/>
                <w:szCs w:val="24"/>
              </w:rPr>
            </w:pPr>
            <w:r>
              <w:rPr>
                <w:rFonts w:hint="default" w:ascii="Times New Roman" w:hAnsi="Times New Roman" w:eastAsia="仿宋" w:cs="Times New Roman"/>
                <w:bCs/>
                <w:kern w:val="0"/>
                <w:sz w:val="24"/>
                <w:szCs w:val="24"/>
              </w:rPr>
              <w:t>在职人数</w:t>
            </w:r>
          </w:p>
        </w:tc>
        <w:tc>
          <w:tcPr>
            <w:tcW w:w="1957"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bCs/>
                <w:kern w:val="0"/>
                <w:sz w:val="24"/>
                <w:szCs w:val="24"/>
              </w:rPr>
            </w:pPr>
            <w:r>
              <w:rPr>
                <w:rFonts w:hint="default" w:ascii="Times New Roman" w:hAnsi="Times New Roman" w:eastAsia="仿宋" w:cs="Times New Roman"/>
                <w:bCs/>
                <w:kern w:val="0"/>
                <w:sz w:val="24"/>
                <w:szCs w:val="24"/>
              </w:rPr>
              <w:t>控制率</w:t>
            </w:r>
          </w:p>
        </w:tc>
      </w:tr>
      <w:tr>
        <w:tblPrEx>
          <w:tblCellMar>
            <w:top w:w="0" w:type="dxa"/>
            <w:left w:w="108" w:type="dxa"/>
            <w:bottom w:w="0" w:type="dxa"/>
            <w:right w:w="108" w:type="dxa"/>
          </w:tblCellMar>
        </w:tblPrEx>
        <w:trPr>
          <w:trHeight w:val="177" w:hRule="atLeast"/>
          <w:jc w:val="center"/>
        </w:trPr>
        <w:tc>
          <w:tcPr>
            <w:tcW w:w="33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rPr>
            </w:pPr>
          </w:p>
        </w:tc>
        <w:tc>
          <w:tcPr>
            <w:tcW w:w="1856"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19</w:t>
            </w:r>
          </w:p>
        </w:tc>
        <w:tc>
          <w:tcPr>
            <w:tcW w:w="1984"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16</w:t>
            </w:r>
          </w:p>
        </w:tc>
        <w:tc>
          <w:tcPr>
            <w:tcW w:w="1957"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100%</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经费控制情况</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黑体" w:hAnsi="黑体" w:eastAsia="黑体" w:cs="黑体"/>
                <w:bCs/>
                <w:kern w:val="0"/>
                <w:sz w:val="24"/>
                <w:szCs w:val="24"/>
              </w:rPr>
            </w:pPr>
            <w:r>
              <w:rPr>
                <w:rFonts w:hint="eastAsia" w:ascii="黑体" w:hAnsi="黑体" w:eastAsia="黑体" w:cs="黑体"/>
                <w:bCs/>
                <w:kern w:val="0"/>
                <w:sz w:val="24"/>
                <w:szCs w:val="24"/>
              </w:rPr>
              <w:t>201</w:t>
            </w:r>
            <w:r>
              <w:rPr>
                <w:rFonts w:hint="eastAsia" w:ascii="黑体" w:hAnsi="黑体" w:eastAsia="黑体" w:cs="黑体"/>
                <w:bCs/>
                <w:kern w:val="0"/>
                <w:sz w:val="24"/>
                <w:szCs w:val="24"/>
                <w:lang w:val="en-US" w:eastAsia="zh-CN"/>
              </w:rPr>
              <w:t>8</w:t>
            </w:r>
            <w:r>
              <w:rPr>
                <w:rFonts w:hint="eastAsia" w:ascii="黑体" w:hAnsi="黑体" w:eastAsia="黑体" w:cs="黑体"/>
                <w:bCs/>
                <w:kern w:val="0"/>
                <w:sz w:val="24"/>
                <w:szCs w:val="24"/>
              </w:rPr>
              <w:t>年决算数</w:t>
            </w:r>
          </w:p>
        </w:tc>
        <w:tc>
          <w:tcPr>
            <w:tcW w:w="1984"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黑体" w:hAnsi="黑体" w:eastAsia="黑体" w:cs="黑体"/>
                <w:bCs/>
                <w:kern w:val="0"/>
                <w:sz w:val="24"/>
                <w:szCs w:val="24"/>
              </w:rPr>
            </w:pPr>
            <w:r>
              <w:rPr>
                <w:rFonts w:hint="eastAsia" w:ascii="黑体" w:hAnsi="黑体" w:eastAsia="黑体" w:cs="黑体"/>
                <w:bCs/>
                <w:kern w:val="0"/>
                <w:sz w:val="24"/>
                <w:szCs w:val="24"/>
              </w:rPr>
              <w:t>201</w:t>
            </w:r>
            <w:r>
              <w:rPr>
                <w:rFonts w:hint="eastAsia" w:ascii="黑体" w:hAnsi="黑体" w:eastAsia="黑体" w:cs="黑体"/>
                <w:bCs/>
                <w:kern w:val="0"/>
                <w:sz w:val="24"/>
                <w:szCs w:val="24"/>
                <w:lang w:val="en-US" w:eastAsia="zh-CN"/>
              </w:rPr>
              <w:t>9</w:t>
            </w:r>
            <w:r>
              <w:rPr>
                <w:rFonts w:hint="eastAsia" w:ascii="黑体" w:hAnsi="黑体" w:eastAsia="黑体" w:cs="黑体"/>
                <w:bCs/>
                <w:kern w:val="0"/>
                <w:sz w:val="24"/>
                <w:szCs w:val="24"/>
              </w:rPr>
              <w:t>年预算数</w:t>
            </w:r>
          </w:p>
        </w:tc>
        <w:tc>
          <w:tcPr>
            <w:tcW w:w="195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黑体" w:hAnsi="黑体" w:eastAsia="黑体" w:cs="黑体"/>
                <w:bCs/>
                <w:kern w:val="0"/>
                <w:sz w:val="24"/>
                <w:szCs w:val="24"/>
              </w:rPr>
            </w:pPr>
            <w:r>
              <w:rPr>
                <w:rFonts w:hint="eastAsia" w:ascii="黑体" w:hAnsi="黑体" w:eastAsia="黑体" w:cs="黑体"/>
                <w:bCs/>
                <w:kern w:val="0"/>
                <w:sz w:val="24"/>
                <w:szCs w:val="24"/>
              </w:rPr>
              <w:t>201</w:t>
            </w:r>
            <w:r>
              <w:rPr>
                <w:rFonts w:hint="eastAsia" w:ascii="黑体" w:hAnsi="黑体" w:eastAsia="黑体" w:cs="黑体"/>
                <w:bCs/>
                <w:kern w:val="0"/>
                <w:sz w:val="24"/>
                <w:szCs w:val="24"/>
                <w:lang w:val="en-US" w:eastAsia="zh-CN"/>
              </w:rPr>
              <w:t>9</w:t>
            </w:r>
            <w:r>
              <w:rPr>
                <w:rFonts w:hint="eastAsia" w:ascii="黑体" w:hAnsi="黑体" w:eastAsia="黑体" w:cs="黑体"/>
                <w:bCs/>
                <w:kern w:val="0"/>
                <w:sz w:val="24"/>
                <w:szCs w:val="24"/>
              </w:rPr>
              <w:t>年决算数</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rPr>
            </w:pPr>
            <w:r>
              <w:rPr>
                <w:rFonts w:hint="default" w:ascii="Times New Roman" w:hAnsi="Times New Roman" w:eastAsia="仿宋" w:cs="Times New Roman"/>
                <w:b/>
                <w:bCs/>
                <w:kern w:val="0"/>
                <w:sz w:val="24"/>
                <w:szCs w:val="24"/>
              </w:rPr>
              <w:t>三公经费</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4.36</w:t>
            </w:r>
          </w:p>
        </w:tc>
        <w:tc>
          <w:tcPr>
            <w:tcW w:w="1984"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6</w:t>
            </w:r>
          </w:p>
        </w:tc>
        <w:tc>
          <w:tcPr>
            <w:tcW w:w="195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5.24</w:t>
            </w:r>
          </w:p>
        </w:tc>
      </w:tr>
      <w:tr>
        <w:tblPrEx>
          <w:tblCellMar>
            <w:top w:w="0" w:type="dxa"/>
            <w:left w:w="108" w:type="dxa"/>
            <w:bottom w:w="0" w:type="dxa"/>
            <w:right w:w="108" w:type="dxa"/>
          </w:tblCellMar>
        </w:tblPrEx>
        <w:trPr>
          <w:trHeight w:val="39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 xml:space="preserve">  </w:t>
            </w:r>
            <w:r>
              <w:rPr>
                <w:rFonts w:hint="eastAsia" w:ascii="Times New Roman" w:hAnsi="Times New Roman" w:eastAsia="仿宋" w:cs="Times New Roman"/>
                <w:kern w:val="0"/>
                <w:sz w:val="24"/>
                <w:szCs w:val="24"/>
                <w:lang w:val="en-US" w:eastAsia="zh-CN"/>
              </w:rPr>
              <w:t>1.</w:t>
            </w:r>
            <w:r>
              <w:rPr>
                <w:rFonts w:hint="default" w:ascii="Times New Roman" w:hAnsi="Times New Roman" w:eastAsia="仿宋" w:cs="Times New Roman"/>
                <w:kern w:val="0"/>
                <w:sz w:val="24"/>
                <w:szCs w:val="24"/>
              </w:rPr>
              <w:t>公务用车购置和维护经费</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2.44</w:t>
            </w:r>
          </w:p>
        </w:tc>
        <w:tc>
          <w:tcPr>
            <w:tcW w:w="1984"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3.5</w:t>
            </w:r>
          </w:p>
        </w:tc>
        <w:tc>
          <w:tcPr>
            <w:tcW w:w="195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3.03</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 xml:space="preserve">       其中：公车购置</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0</w:t>
            </w:r>
          </w:p>
        </w:tc>
        <w:tc>
          <w:tcPr>
            <w:tcW w:w="1984"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0</w:t>
            </w:r>
          </w:p>
        </w:tc>
        <w:tc>
          <w:tcPr>
            <w:tcW w:w="195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0</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 xml:space="preserve">             公车运行维护</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2.44</w:t>
            </w:r>
          </w:p>
        </w:tc>
        <w:tc>
          <w:tcPr>
            <w:tcW w:w="1984"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3.5</w:t>
            </w:r>
          </w:p>
        </w:tc>
        <w:tc>
          <w:tcPr>
            <w:tcW w:w="195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3.03</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 xml:space="preserve">   2</w:t>
            </w:r>
            <w:r>
              <w:rPr>
                <w:rFonts w:hint="eastAsia" w:ascii="Times New Roman" w:hAnsi="Times New Roman" w:eastAsia="仿宋" w:cs="Times New Roman"/>
                <w:kern w:val="0"/>
                <w:sz w:val="24"/>
                <w:szCs w:val="24"/>
                <w:lang w:val="en-US" w:eastAsia="zh-CN"/>
              </w:rPr>
              <w:t>.</w:t>
            </w:r>
            <w:r>
              <w:rPr>
                <w:rFonts w:hint="default" w:ascii="Times New Roman" w:hAnsi="Times New Roman" w:eastAsia="仿宋" w:cs="Times New Roman"/>
                <w:kern w:val="0"/>
                <w:sz w:val="24"/>
                <w:szCs w:val="24"/>
              </w:rPr>
              <w:t>出国经费</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0</w:t>
            </w:r>
          </w:p>
        </w:tc>
        <w:tc>
          <w:tcPr>
            <w:tcW w:w="1984"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0</w:t>
            </w:r>
          </w:p>
        </w:tc>
        <w:tc>
          <w:tcPr>
            <w:tcW w:w="195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0</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 xml:space="preserve">   3</w:t>
            </w:r>
            <w:r>
              <w:rPr>
                <w:rFonts w:hint="eastAsia" w:ascii="Times New Roman" w:hAnsi="Times New Roman" w:eastAsia="仿宋" w:cs="Times New Roman"/>
                <w:kern w:val="0"/>
                <w:sz w:val="24"/>
                <w:szCs w:val="24"/>
                <w:lang w:val="en-US" w:eastAsia="zh-CN"/>
              </w:rPr>
              <w:t>.</w:t>
            </w:r>
            <w:r>
              <w:rPr>
                <w:rFonts w:hint="default" w:ascii="Times New Roman" w:hAnsi="Times New Roman" w:eastAsia="仿宋" w:cs="Times New Roman"/>
                <w:kern w:val="0"/>
                <w:sz w:val="24"/>
                <w:szCs w:val="24"/>
              </w:rPr>
              <w:t>公务接待</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1.92</w:t>
            </w:r>
          </w:p>
        </w:tc>
        <w:tc>
          <w:tcPr>
            <w:tcW w:w="1984"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2.5</w:t>
            </w:r>
          </w:p>
        </w:tc>
        <w:tc>
          <w:tcPr>
            <w:tcW w:w="195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2.21</w:t>
            </w:r>
          </w:p>
        </w:tc>
      </w:tr>
      <w:tr>
        <w:tblPrEx>
          <w:tblCellMar>
            <w:top w:w="0" w:type="dxa"/>
            <w:left w:w="108" w:type="dxa"/>
            <w:bottom w:w="0" w:type="dxa"/>
            <w:right w:w="108" w:type="dxa"/>
          </w:tblCellMar>
        </w:tblPrEx>
        <w:trPr>
          <w:trHeight w:val="39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rPr>
            </w:pPr>
            <w:r>
              <w:rPr>
                <w:rFonts w:hint="default" w:ascii="Times New Roman" w:hAnsi="Times New Roman" w:eastAsia="仿宋" w:cs="Times New Roman"/>
                <w:b/>
                <w:bCs/>
                <w:kern w:val="0"/>
                <w:sz w:val="24"/>
                <w:szCs w:val="24"/>
              </w:rPr>
              <w:t>项目支出</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0</w:t>
            </w:r>
          </w:p>
        </w:tc>
        <w:tc>
          <w:tcPr>
            <w:tcW w:w="1984"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72</w:t>
            </w:r>
          </w:p>
        </w:tc>
        <w:tc>
          <w:tcPr>
            <w:tcW w:w="195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58.59</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 xml:space="preserve">    1</w:t>
            </w:r>
            <w:r>
              <w:rPr>
                <w:rFonts w:hint="eastAsia" w:ascii="Times New Roman" w:hAnsi="Times New Roman" w:eastAsia="仿宋" w:cs="Times New Roman"/>
                <w:kern w:val="0"/>
                <w:sz w:val="24"/>
                <w:szCs w:val="24"/>
                <w:lang w:val="en-US" w:eastAsia="zh-CN"/>
              </w:rPr>
              <w:t>.</w:t>
            </w:r>
            <w:r>
              <w:rPr>
                <w:rFonts w:hint="default" w:ascii="Times New Roman" w:hAnsi="Times New Roman" w:eastAsia="仿宋" w:cs="Times New Roman"/>
                <w:kern w:val="0"/>
                <w:sz w:val="24"/>
                <w:szCs w:val="24"/>
              </w:rPr>
              <w:t>业务工作专项</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0</w:t>
            </w:r>
          </w:p>
        </w:tc>
        <w:tc>
          <w:tcPr>
            <w:tcW w:w="1984"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72</w:t>
            </w:r>
          </w:p>
        </w:tc>
        <w:tc>
          <w:tcPr>
            <w:tcW w:w="195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58.59</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rPr>
            </w:pPr>
            <w:r>
              <w:rPr>
                <w:rFonts w:hint="default" w:ascii="Times New Roman" w:hAnsi="Times New Roman" w:eastAsia="仿宋" w:cs="Times New Roman"/>
                <w:b/>
                <w:bCs/>
                <w:kern w:val="0"/>
                <w:sz w:val="24"/>
                <w:szCs w:val="24"/>
              </w:rPr>
              <w:t>公用经费</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140.93</w:t>
            </w:r>
          </w:p>
        </w:tc>
        <w:tc>
          <w:tcPr>
            <w:tcW w:w="1984"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 w:cs="Times New Roman"/>
                <w:kern w:val="0"/>
                <w:sz w:val="24"/>
                <w:szCs w:val="24"/>
                <w:lang w:eastAsia="zh-CN"/>
              </w:rPr>
            </w:pPr>
          </w:p>
        </w:tc>
        <w:tc>
          <w:tcPr>
            <w:tcW w:w="195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146.03</w:t>
            </w:r>
          </w:p>
        </w:tc>
      </w:tr>
      <w:tr>
        <w:tblPrEx>
          <w:tblCellMar>
            <w:top w:w="0" w:type="dxa"/>
            <w:left w:w="108" w:type="dxa"/>
            <w:bottom w:w="0" w:type="dxa"/>
            <w:right w:w="108" w:type="dxa"/>
          </w:tblCellMar>
        </w:tblPrEx>
        <w:trPr>
          <w:trHeight w:val="39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rPr>
            </w:pPr>
            <w:r>
              <w:rPr>
                <w:rFonts w:hint="eastAsia" w:ascii="Times New Roman" w:hAnsi="Times New Roman" w:eastAsia="仿宋" w:cs="Times New Roman"/>
                <w:kern w:val="0"/>
                <w:sz w:val="24"/>
                <w:szCs w:val="24"/>
                <w:lang w:val="en-US" w:eastAsia="zh-CN"/>
              </w:rPr>
              <w:t>1.办公费</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11.84</w:t>
            </w:r>
          </w:p>
        </w:tc>
        <w:tc>
          <w:tcPr>
            <w:tcW w:w="1984"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eastAsia="zh-CN"/>
              </w:rPr>
            </w:pPr>
          </w:p>
        </w:tc>
        <w:tc>
          <w:tcPr>
            <w:tcW w:w="1957"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8.04</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rPr>
            </w:pPr>
            <w:r>
              <w:rPr>
                <w:rFonts w:hint="eastAsia" w:ascii="Times New Roman" w:hAnsi="Times New Roman" w:eastAsia="仿宋" w:cs="Times New Roman"/>
                <w:kern w:val="0"/>
                <w:sz w:val="24"/>
                <w:szCs w:val="24"/>
                <w:lang w:val="en-US" w:eastAsia="zh-CN"/>
              </w:rPr>
              <w:t>2.印刷费</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35.27</w:t>
            </w:r>
          </w:p>
        </w:tc>
        <w:tc>
          <w:tcPr>
            <w:tcW w:w="1984"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eastAsia="zh-CN"/>
              </w:rPr>
            </w:pPr>
          </w:p>
        </w:tc>
        <w:tc>
          <w:tcPr>
            <w:tcW w:w="1957"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35.67</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3.邮电费</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1.61</w:t>
            </w:r>
          </w:p>
        </w:tc>
        <w:tc>
          <w:tcPr>
            <w:tcW w:w="1984"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eastAsia="zh-CN"/>
              </w:rPr>
            </w:pPr>
          </w:p>
        </w:tc>
        <w:tc>
          <w:tcPr>
            <w:tcW w:w="1957"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1.26</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rPr>
            </w:pPr>
            <w:r>
              <w:rPr>
                <w:rFonts w:hint="eastAsia" w:ascii="Times New Roman" w:hAnsi="Times New Roman" w:eastAsia="仿宋" w:cs="Times New Roman"/>
                <w:kern w:val="0"/>
                <w:sz w:val="24"/>
                <w:szCs w:val="24"/>
                <w:lang w:val="en-US" w:eastAsia="zh-CN"/>
              </w:rPr>
              <w:t>4.物业管理费</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0.17</w:t>
            </w:r>
          </w:p>
        </w:tc>
        <w:tc>
          <w:tcPr>
            <w:tcW w:w="1984"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eastAsia="zh-CN"/>
              </w:rPr>
            </w:pPr>
          </w:p>
        </w:tc>
        <w:tc>
          <w:tcPr>
            <w:tcW w:w="1957"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0</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5.差旅费</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3.41</w:t>
            </w:r>
          </w:p>
        </w:tc>
        <w:tc>
          <w:tcPr>
            <w:tcW w:w="1984"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eastAsia="zh-CN"/>
              </w:rPr>
            </w:pPr>
          </w:p>
        </w:tc>
        <w:tc>
          <w:tcPr>
            <w:tcW w:w="1957"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10.36</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6.维修（护）费</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0.99</w:t>
            </w:r>
          </w:p>
        </w:tc>
        <w:tc>
          <w:tcPr>
            <w:tcW w:w="1984"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eastAsia="zh-CN"/>
              </w:rPr>
            </w:pPr>
          </w:p>
        </w:tc>
        <w:tc>
          <w:tcPr>
            <w:tcW w:w="1957"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val="en-US" w:eastAsia="zh-CN"/>
              </w:rPr>
            </w:pPr>
            <w:r>
              <w:rPr>
                <w:rFonts w:hint="default" w:ascii="Times New Roman" w:hAnsi="Times New Roman" w:eastAsia="仿宋" w:cs="Times New Roman"/>
                <w:kern w:val="0"/>
                <w:sz w:val="24"/>
                <w:szCs w:val="24"/>
                <w:lang w:val="en-US" w:eastAsia="zh-CN"/>
              </w:rPr>
              <w:t>2</w:t>
            </w:r>
            <w:r>
              <w:rPr>
                <w:rFonts w:hint="eastAsia" w:ascii="Times New Roman" w:hAnsi="Times New Roman" w:eastAsia="仿宋" w:cs="Times New Roman"/>
                <w:kern w:val="0"/>
                <w:sz w:val="24"/>
                <w:szCs w:val="24"/>
                <w:lang w:val="en-US" w:eastAsia="zh-CN"/>
              </w:rPr>
              <w:t>.7</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7.会议费</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0.85</w:t>
            </w:r>
          </w:p>
        </w:tc>
        <w:tc>
          <w:tcPr>
            <w:tcW w:w="1984"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eastAsia="zh-CN"/>
              </w:rPr>
            </w:pPr>
          </w:p>
        </w:tc>
        <w:tc>
          <w:tcPr>
            <w:tcW w:w="1957"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eastAsia"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0</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8.培训费</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1.13</w:t>
            </w:r>
          </w:p>
        </w:tc>
        <w:tc>
          <w:tcPr>
            <w:tcW w:w="1984"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eastAsia="zh-CN"/>
              </w:rPr>
            </w:pPr>
          </w:p>
        </w:tc>
        <w:tc>
          <w:tcPr>
            <w:tcW w:w="1957"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eastAsia="zh-CN"/>
              </w:rPr>
            </w:pPr>
            <w:r>
              <w:rPr>
                <w:rFonts w:hint="default" w:ascii="Times New Roman" w:hAnsi="Times New Roman" w:eastAsia="仿宋" w:cs="Times New Roman"/>
                <w:kern w:val="0"/>
                <w:sz w:val="24"/>
                <w:szCs w:val="24"/>
                <w:lang w:val="en-US" w:eastAsia="zh-CN"/>
              </w:rPr>
              <w:t>0.91</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9.公务接待费</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1.92</w:t>
            </w:r>
          </w:p>
        </w:tc>
        <w:tc>
          <w:tcPr>
            <w:tcW w:w="1984"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eastAsia="zh-CN"/>
              </w:rPr>
            </w:pPr>
          </w:p>
        </w:tc>
        <w:tc>
          <w:tcPr>
            <w:tcW w:w="1957"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2.21</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10.劳务费</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6.48</w:t>
            </w:r>
          </w:p>
        </w:tc>
        <w:tc>
          <w:tcPr>
            <w:tcW w:w="1984"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eastAsia="zh-CN"/>
              </w:rPr>
            </w:pPr>
          </w:p>
        </w:tc>
        <w:tc>
          <w:tcPr>
            <w:tcW w:w="1957"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1</w:t>
            </w:r>
            <w:r>
              <w:rPr>
                <w:rFonts w:hint="default" w:ascii="Times New Roman" w:hAnsi="Times New Roman" w:eastAsia="仿宋" w:cs="Times New Roman"/>
                <w:kern w:val="0"/>
                <w:sz w:val="24"/>
                <w:szCs w:val="24"/>
                <w:lang w:val="en-US" w:eastAsia="zh-CN"/>
              </w:rPr>
              <w:t>4.7</w:t>
            </w:r>
            <w:r>
              <w:rPr>
                <w:rFonts w:hint="eastAsia" w:ascii="Times New Roman" w:hAnsi="Times New Roman" w:eastAsia="仿宋" w:cs="Times New Roman"/>
                <w:kern w:val="0"/>
                <w:sz w:val="24"/>
                <w:szCs w:val="24"/>
                <w:lang w:val="en-US" w:eastAsia="zh-CN"/>
              </w:rPr>
              <w:t>2</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11.工会经费</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8.34</w:t>
            </w:r>
          </w:p>
        </w:tc>
        <w:tc>
          <w:tcPr>
            <w:tcW w:w="1984"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eastAsia="zh-CN"/>
              </w:rPr>
            </w:pPr>
          </w:p>
        </w:tc>
        <w:tc>
          <w:tcPr>
            <w:tcW w:w="1957"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eastAsia="zh-CN"/>
              </w:rPr>
            </w:pPr>
            <w:r>
              <w:rPr>
                <w:rFonts w:hint="default" w:ascii="Times New Roman" w:hAnsi="Times New Roman" w:eastAsia="仿宋" w:cs="Times New Roman"/>
                <w:kern w:val="0"/>
                <w:sz w:val="24"/>
                <w:szCs w:val="24"/>
                <w:lang w:val="en-US" w:eastAsia="zh-CN"/>
              </w:rPr>
              <w:t>8.66</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12.福利费</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9.4</w:t>
            </w:r>
          </w:p>
        </w:tc>
        <w:tc>
          <w:tcPr>
            <w:tcW w:w="1984"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eastAsia="zh-CN"/>
              </w:rPr>
            </w:pPr>
          </w:p>
        </w:tc>
        <w:tc>
          <w:tcPr>
            <w:tcW w:w="1957"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eastAsia="zh-CN"/>
              </w:rPr>
            </w:pPr>
            <w:r>
              <w:rPr>
                <w:rFonts w:hint="default" w:ascii="Times New Roman" w:hAnsi="Times New Roman" w:eastAsia="仿宋" w:cs="Times New Roman"/>
                <w:kern w:val="0"/>
                <w:sz w:val="24"/>
                <w:szCs w:val="24"/>
                <w:lang w:val="en-US" w:eastAsia="zh-CN"/>
              </w:rPr>
              <w:t>7.42</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13.公务用车运行维护费</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2.44</w:t>
            </w:r>
          </w:p>
        </w:tc>
        <w:tc>
          <w:tcPr>
            <w:tcW w:w="1984"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eastAsia="zh-CN"/>
              </w:rPr>
            </w:pPr>
          </w:p>
        </w:tc>
        <w:tc>
          <w:tcPr>
            <w:tcW w:w="1957"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3.03</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14.其他交通费用</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18.28</w:t>
            </w:r>
          </w:p>
        </w:tc>
        <w:tc>
          <w:tcPr>
            <w:tcW w:w="1984"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eastAsia="zh-CN"/>
              </w:rPr>
            </w:pPr>
          </w:p>
        </w:tc>
        <w:tc>
          <w:tcPr>
            <w:tcW w:w="1957"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val="en-US" w:eastAsia="zh-CN"/>
              </w:rPr>
            </w:pPr>
            <w:r>
              <w:rPr>
                <w:rFonts w:hint="default" w:ascii="Times New Roman" w:hAnsi="Times New Roman" w:eastAsia="仿宋" w:cs="Times New Roman"/>
                <w:kern w:val="0"/>
                <w:sz w:val="24"/>
                <w:szCs w:val="24"/>
                <w:lang w:val="en-US" w:eastAsia="zh-CN"/>
              </w:rPr>
              <w:t>1</w:t>
            </w:r>
            <w:r>
              <w:rPr>
                <w:rFonts w:hint="eastAsia" w:ascii="Times New Roman" w:hAnsi="Times New Roman" w:eastAsia="仿宋" w:cs="Times New Roman"/>
                <w:kern w:val="0"/>
                <w:sz w:val="24"/>
                <w:szCs w:val="24"/>
                <w:lang w:val="en-US" w:eastAsia="zh-CN"/>
              </w:rPr>
              <w:t>8</w:t>
            </w:r>
            <w:r>
              <w:rPr>
                <w:rFonts w:hint="default" w:ascii="Times New Roman" w:hAnsi="Times New Roman" w:eastAsia="仿宋" w:cs="Times New Roman"/>
                <w:kern w:val="0"/>
                <w:sz w:val="24"/>
                <w:szCs w:val="24"/>
                <w:lang w:val="en-US" w:eastAsia="zh-CN"/>
              </w:rPr>
              <w:t>.</w:t>
            </w:r>
            <w:r>
              <w:rPr>
                <w:rFonts w:hint="eastAsia" w:ascii="Times New Roman" w:hAnsi="Times New Roman" w:eastAsia="仿宋" w:cs="Times New Roman"/>
                <w:kern w:val="0"/>
                <w:sz w:val="24"/>
                <w:szCs w:val="24"/>
                <w:lang w:val="en-US" w:eastAsia="zh-CN"/>
              </w:rPr>
              <w:t>13</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15.其他商品和服务支出</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38.13</w:t>
            </w:r>
          </w:p>
        </w:tc>
        <w:tc>
          <w:tcPr>
            <w:tcW w:w="1984"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eastAsia="zh-CN"/>
              </w:rPr>
            </w:pPr>
          </w:p>
        </w:tc>
        <w:tc>
          <w:tcPr>
            <w:tcW w:w="1957" w:type="dxa"/>
            <w:gridSpan w:val="2"/>
            <w:tcBorders>
              <w:top w:val="single" w:color="auto" w:sz="4" w:space="0"/>
              <w:left w:val="nil"/>
              <w:bottom w:val="single" w:color="auto" w:sz="4" w:space="0"/>
              <w:right w:val="single" w:color="000000" w:sz="4" w:space="0"/>
            </w:tcBorders>
            <w:noWrap w:val="0"/>
            <w:vAlign w:val="bottom"/>
          </w:tcPr>
          <w:p>
            <w:pPr>
              <w:widowControl/>
              <w:jc w:val="cente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32.92</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rPr>
            </w:pPr>
            <w:r>
              <w:rPr>
                <w:rFonts w:hint="default" w:ascii="Times New Roman" w:hAnsi="Times New Roman" w:eastAsia="仿宋" w:cs="Times New Roman"/>
                <w:b/>
                <w:bCs/>
                <w:kern w:val="0"/>
                <w:sz w:val="24"/>
                <w:szCs w:val="24"/>
              </w:rPr>
              <w:t>政府采购金额</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eastAsia="zh-CN"/>
              </w:rPr>
            </w:pPr>
            <w:r>
              <w:rPr>
                <w:rFonts w:hint="default" w:ascii="Times New Roman" w:hAnsi="Times New Roman" w:eastAsia="仿宋" w:cs="Times New Roman"/>
                <w:kern w:val="0"/>
                <w:sz w:val="24"/>
                <w:szCs w:val="24"/>
                <w:lang w:eastAsia="zh-CN"/>
              </w:rPr>
              <w:t>——</w:t>
            </w:r>
          </w:p>
        </w:tc>
        <w:tc>
          <w:tcPr>
            <w:tcW w:w="1984"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 w:cs="Times New Roman"/>
                <w:kern w:val="0"/>
                <w:sz w:val="24"/>
                <w:szCs w:val="24"/>
                <w:lang w:eastAsia="zh-CN"/>
              </w:rPr>
            </w:pPr>
          </w:p>
        </w:tc>
        <w:tc>
          <w:tcPr>
            <w:tcW w:w="195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5.95</w:t>
            </w:r>
          </w:p>
        </w:tc>
      </w:tr>
      <w:tr>
        <w:tblPrEx>
          <w:tblCellMar>
            <w:top w:w="0" w:type="dxa"/>
            <w:left w:w="108" w:type="dxa"/>
            <w:bottom w:w="0" w:type="dxa"/>
            <w:right w:w="108" w:type="dxa"/>
          </w:tblCellMar>
        </w:tblPrEx>
        <w:trPr>
          <w:trHeight w:val="371"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rPr>
            </w:pPr>
            <w:r>
              <w:rPr>
                <w:rFonts w:hint="default" w:ascii="Times New Roman" w:hAnsi="Times New Roman" w:eastAsia="仿宋" w:cs="Times New Roman"/>
                <w:b/>
                <w:bCs/>
                <w:kern w:val="0"/>
                <w:sz w:val="24"/>
                <w:szCs w:val="24"/>
              </w:rPr>
              <w:t xml:space="preserve">部门整体支出预算调整 </w:t>
            </w:r>
          </w:p>
        </w:tc>
        <w:tc>
          <w:tcPr>
            <w:tcW w:w="1856"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eastAsia="zh-CN"/>
              </w:rPr>
            </w:pPr>
            <w:r>
              <w:rPr>
                <w:rFonts w:hint="default" w:ascii="Times New Roman" w:hAnsi="Times New Roman" w:eastAsia="仿宋" w:cs="Times New Roman"/>
                <w:kern w:val="0"/>
                <w:sz w:val="24"/>
                <w:szCs w:val="24"/>
                <w:lang w:eastAsia="zh-CN"/>
              </w:rPr>
              <w:t>——</w:t>
            </w:r>
          </w:p>
        </w:tc>
        <w:tc>
          <w:tcPr>
            <w:tcW w:w="1984"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439.36</w:t>
            </w:r>
          </w:p>
        </w:tc>
        <w:tc>
          <w:tcPr>
            <w:tcW w:w="1957"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491.28</w:t>
            </w:r>
          </w:p>
        </w:tc>
      </w:tr>
      <w:tr>
        <w:tblPrEx>
          <w:tblCellMar>
            <w:top w:w="0" w:type="dxa"/>
            <w:left w:w="108" w:type="dxa"/>
            <w:bottom w:w="0" w:type="dxa"/>
            <w:right w:w="108" w:type="dxa"/>
          </w:tblCellMar>
        </w:tblPrEx>
        <w:trPr>
          <w:trHeight w:val="1154" w:hRule="atLeast"/>
          <w:jc w:val="center"/>
        </w:trPr>
        <w:tc>
          <w:tcPr>
            <w:tcW w:w="3322"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4"/>
                <w:szCs w:val="24"/>
              </w:rPr>
            </w:pPr>
            <w:r>
              <w:rPr>
                <w:rFonts w:hint="default" w:ascii="Times New Roman" w:hAnsi="Times New Roman" w:eastAsia="仿宋" w:cs="Times New Roman"/>
                <w:b/>
                <w:bCs/>
                <w:kern w:val="0"/>
                <w:sz w:val="24"/>
                <w:szCs w:val="24"/>
              </w:rPr>
              <w:t>楼堂馆所控制情况</w:t>
            </w:r>
            <w:r>
              <w:rPr>
                <w:rFonts w:hint="default" w:ascii="Times New Roman" w:hAnsi="Times New Roman" w:eastAsia="仿宋" w:cs="Times New Roman"/>
                <w:b/>
                <w:bCs/>
                <w:kern w:val="0"/>
                <w:sz w:val="24"/>
                <w:szCs w:val="24"/>
              </w:rPr>
              <w:br w:type="textWrapping"/>
            </w:r>
            <w:r>
              <w:rPr>
                <w:rFonts w:hint="default" w:ascii="Times New Roman" w:hAnsi="Times New Roman" w:eastAsia="仿宋" w:cs="Times New Roman"/>
                <w:b/>
                <w:bCs/>
                <w:kern w:val="0"/>
                <w:sz w:val="24"/>
                <w:szCs w:val="24"/>
              </w:rPr>
              <w:t>（201</w:t>
            </w:r>
            <w:r>
              <w:rPr>
                <w:rFonts w:hint="eastAsia" w:ascii="Times New Roman" w:hAnsi="Times New Roman" w:eastAsia="仿宋" w:cs="Times New Roman"/>
                <w:b/>
                <w:bCs/>
                <w:kern w:val="0"/>
                <w:sz w:val="24"/>
                <w:szCs w:val="24"/>
                <w:lang w:val="en-US" w:eastAsia="zh-CN"/>
              </w:rPr>
              <w:t>9</w:t>
            </w:r>
            <w:r>
              <w:rPr>
                <w:rFonts w:hint="default" w:ascii="Times New Roman" w:hAnsi="Times New Roman" w:eastAsia="仿宋" w:cs="Times New Roman"/>
                <w:b/>
                <w:bCs/>
                <w:kern w:val="0"/>
                <w:sz w:val="24"/>
                <w:szCs w:val="24"/>
              </w:rPr>
              <w:t>年完工项目）</w:t>
            </w:r>
          </w:p>
        </w:tc>
        <w:tc>
          <w:tcPr>
            <w:tcW w:w="1106"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bCs/>
                <w:kern w:val="0"/>
                <w:sz w:val="24"/>
                <w:szCs w:val="24"/>
              </w:rPr>
            </w:pPr>
            <w:r>
              <w:rPr>
                <w:rFonts w:hint="default" w:ascii="Times New Roman" w:hAnsi="Times New Roman" w:eastAsia="仿宋" w:cs="Times New Roman"/>
                <w:bCs/>
                <w:kern w:val="0"/>
                <w:sz w:val="24"/>
                <w:szCs w:val="24"/>
              </w:rPr>
              <w:t>批复</w:t>
            </w:r>
          </w:p>
          <w:p>
            <w:pPr>
              <w:widowControl/>
              <w:jc w:val="center"/>
              <w:rPr>
                <w:rFonts w:hint="default" w:ascii="Times New Roman" w:hAnsi="Times New Roman" w:eastAsia="仿宋" w:cs="Times New Roman"/>
                <w:bCs/>
                <w:kern w:val="0"/>
                <w:sz w:val="24"/>
                <w:szCs w:val="24"/>
              </w:rPr>
            </w:pPr>
            <w:r>
              <w:rPr>
                <w:rFonts w:hint="default" w:ascii="Times New Roman" w:hAnsi="Times New Roman" w:eastAsia="仿宋" w:cs="Times New Roman"/>
                <w:bCs/>
                <w:kern w:val="0"/>
                <w:sz w:val="24"/>
                <w:szCs w:val="24"/>
              </w:rPr>
              <w:t>规模</w:t>
            </w:r>
            <w:r>
              <w:rPr>
                <w:rFonts w:hint="default" w:ascii="Times New Roman" w:hAnsi="Times New Roman" w:eastAsia="仿宋" w:cs="Times New Roman"/>
                <w:bCs/>
                <w:kern w:val="0"/>
                <w:sz w:val="24"/>
                <w:szCs w:val="24"/>
              </w:rPr>
              <w:br w:type="textWrapping"/>
            </w:r>
            <w:r>
              <w:rPr>
                <w:rFonts w:hint="eastAsia" w:ascii="Times New Roman" w:hAnsi="Times New Roman" w:eastAsia="仿宋" w:cs="Times New Roman"/>
                <w:bCs/>
                <w:kern w:val="0"/>
                <w:sz w:val="24"/>
                <w:szCs w:val="24"/>
                <w:lang w:val="en-US" w:eastAsia="zh-CN"/>
              </w:rPr>
              <w:t>(</w:t>
            </w:r>
            <w:r>
              <w:rPr>
                <w:rFonts w:hint="default" w:ascii="Times New Roman" w:hAnsi="Times New Roman" w:eastAsia="仿宋" w:cs="Times New Roman"/>
                <w:bCs/>
                <w:kern w:val="0"/>
                <w:sz w:val="24"/>
                <w:szCs w:val="24"/>
              </w:rPr>
              <w:t>㎡</w:t>
            </w:r>
            <w:r>
              <w:rPr>
                <w:rFonts w:hint="eastAsia" w:ascii="Times New Roman" w:hAnsi="Times New Roman" w:eastAsia="仿宋" w:cs="Times New Roman"/>
                <w:bCs/>
                <w:kern w:val="0"/>
                <w:sz w:val="24"/>
                <w:szCs w:val="24"/>
                <w:lang w:val="en-US" w:eastAsia="zh-CN"/>
              </w:rPr>
              <w:t>)</w:t>
            </w:r>
          </w:p>
        </w:tc>
        <w:tc>
          <w:tcPr>
            <w:tcW w:w="750"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 w:cs="Times New Roman"/>
                <w:bCs/>
                <w:kern w:val="0"/>
                <w:sz w:val="24"/>
                <w:szCs w:val="24"/>
                <w:lang w:eastAsia="zh-CN"/>
              </w:rPr>
            </w:pPr>
            <w:r>
              <w:rPr>
                <w:rFonts w:hint="default" w:ascii="Times New Roman" w:hAnsi="Times New Roman" w:eastAsia="仿宋" w:cs="Times New Roman"/>
                <w:bCs/>
                <w:kern w:val="0"/>
                <w:sz w:val="24"/>
                <w:szCs w:val="24"/>
              </w:rPr>
              <w:t>实际规模</w:t>
            </w:r>
            <w:r>
              <w:rPr>
                <w:rFonts w:hint="eastAsia" w:ascii="Times New Roman" w:hAnsi="Times New Roman" w:eastAsia="仿宋" w:cs="Times New Roman"/>
                <w:bCs/>
                <w:kern w:val="0"/>
                <w:sz w:val="24"/>
                <w:szCs w:val="24"/>
                <w:lang w:val="en-US" w:eastAsia="zh-CN"/>
              </w:rPr>
              <w:t>(</w:t>
            </w:r>
            <w:r>
              <w:rPr>
                <w:rFonts w:hint="default" w:ascii="Times New Roman" w:hAnsi="Times New Roman" w:eastAsia="仿宋" w:cs="Times New Roman"/>
                <w:bCs/>
                <w:kern w:val="0"/>
                <w:sz w:val="24"/>
                <w:szCs w:val="24"/>
              </w:rPr>
              <w:t>㎡</w:t>
            </w:r>
            <w:r>
              <w:rPr>
                <w:rFonts w:hint="eastAsia" w:ascii="Times New Roman" w:hAnsi="Times New Roman" w:eastAsia="仿宋" w:cs="Times New Roman"/>
                <w:bCs/>
                <w:kern w:val="0"/>
                <w:sz w:val="24"/>
                <w:szCs w:val="24"/>
                <w:lang w:val="en-US" w:eastAsia="zh-CN"/>
              </w:rPr>
              <w:t>)</w:t>
            </w:r>
          </w:p>
        </w:tc>
        <w:tc>
          <w:tcPr>
            <w:tcW w:w="934"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bCs/>
                <w:kern w:val="0"/>
                <w:sz w:val="24"/>
                <w:szCs w:val="24"/>
              </w:rPr>
            </w:pPr>
            <w:r>
              <w:rPr>
                <w:rFonts w:hint="default" w:ascii="Times New Roman" w:hAnsi="Times New Roman" w:eastAsia="仿宋" w:cs="Times New Roman"/>
                <w:bCs/>
                <w:kern w:val="0"/>
                <w:sz w:val="24"/>
                <w:szCs w:val="24"/>
              </w:rPr>
              <w:t>规模</w:t>
            </w:r>
          </w:p>
          <w:p>
            <w:pPr>
              <w:widowControl/>
              <w:jc w:val="center"/>
              <w:rPr>
                <w:rFonts w:hint="default" w:ascii="Times New Roman" w:hAnsi="Times New Roman" w:eastAsia="仿宋" w:cs="Times New Roman"/>
                <w:bCs/>
                <w:kern w:val="0"/>
                <w:sz w:val="24"/>
                <w:szCs w:val="24"/>
              </w:rPr>
            </w:pPr>
            <w:r>
              <w:rPr>
                <w:rFonts w:hint="default" w:ascii="Times New Roman" w:hAnsi="Times New Roman" w:eastAsia="仿宋" w:cs="Times New Roman"/>
                <w:bCs/>
                <w:kern w:val="0"/>
                <w:sz w:val="24"/>
                <w:szCs w:val="24"/>
              </w:rPr>
              <w:t>控制率</w:t>
            </w:r>
          </w:p>
        </w:tc>
        <w:tc>
          <w:tcPr>
            <w:tcW w:w="1050"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bCs/>
                <w:kern w:val="0"/>
                <w:sz w:val="24"/>
                <w:szCs w:val="24"/>
              </w:rPr>
            </w:pPr>
            <w:r>
              <w:rPr>
                <w:rFonts w:hint="default" w:ascii="Times New Roman" w:hAnsi="Times New Roman" w:eastAsia="仿宋" w:cs="Times New Roman"/>
                <w:bCs/>
                <w:kern w:val="0"/>
                <w:sz w:val="24"/>
                <w:szCs w:val="24"/>
              </w:rPr>
              <w:t>预算</w:t>
            </w:r>
          </w:p>
          <w:p>
            <w:pPr>
              <w:widowControl/>
              <w:jc w:val="center"/>
              <w:rPr>
                <w:rFonts w:hint="default" w:ascii="Times New Roman" w:hAnsi="Times New Roman" w:eastAsia="仿宋" w:cs="Times New Roman"/>
                <w:bCs/>
                <w:kern w:val="0"/>
                <w:sz w:val="24"/>
                <w:szCs w:val="24"/>
              </w:rPr>
            </w:pPr>
            <w:r>
              <w:rPr>
                <w:rFonts w:hint="default" w:ascii="Times New Roman" w:hAnsi="Times New Roman" w:eastAsia="仿宋" w:cs="Times New Roman"/>
                <w:bCs/>
                <w:kern w:val="0"/>
                <w:sz w:val="24"/>
                <w:szCs w:val="24"/>
              </w:rPr>
              <w:t>投资</w:t>
            </w:r>
          </w:p>
          <w:p>
            <w:pPr>
              <w:widowControl/>
              <w:jc w:val="center"/>
              <w:rPr>
                <w:rFonts w:hint="eastAsia" w:ascii="Times New Roman" w:hAnsi="Times New Roman" w:eastAsia="仿宋" w:cs="Times New Roman"/>
                <w:bCs/>
                <w:kern w:val="0"/>
                <w:sz w:val="24"/>
                <w:szCs w:val="24"/>
                <w:lang w:eastAsia="zh-CN"/>
              </w:rPr>
            </w:pPr>
            <w:r>
              <w:rPr>
                <w:rFonts w:hint="eastAsia" w:ascii="Times New Roman" w:hAnsi="Times New Roman" w:eastAsia="仿宋" w:cs="Times New Roman"/>
                <w:bCs/>
                <w:kern w:val="0"/>
                <w:sz w:val="24"/>
                <w:szCs w:val="24"/>
                <w:lang w:val="en-US" w:eastAsia="zh-CN"/>
              </w:rPr>
              <w:t>(</w:t>
            </w:r>
            <w:r>
              <w:rPr>
                <w:rFonts w:hint="default" w:ascii="Times New Roman" w:hAnsi="Times New Roman" w:eastAsia="仿宋" w:cs="Times New Roman"/>
                <w:bCs/>
                <w:kern w:val="0"/>
                <w:sz w:val="24"/>
                <w:szCs w:val="24"/>
              </w:rPr>
              <w:t>万元</w:t>
            </w:r>
            <w:r>
              <w:rPr>
                <w:rFonts w:hint="eastAsia" w:ascii="Times New Roman" w:hAnsi="Times New Roman" w:eastAsia="仿宋" w:cs="Times New Roman"/>
                <w:bCs/>
                <w:kern w:val="0"/>
                <w:sz w:val="24"/>
                <w:szCs w:val="24"/>
                <w:lang w:val="en-US" w:eastAsia="zh-CN"/>
              </w:rPr>
              <w:t>)</w:t>
            </w:r>
          </w:p>
        </w:tc>
        <w:tc>
          <w:tcPr>
            <w:tcW w:w="1009"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bCs/>
                <w:kern w:val="0"/>
                <w:sz w:val="24"/>
                <w:szCs w:val="24"/>
              </w:rPr>
            </w:pPr>
            <w:r>
              <w:rPr>
                <w:rFonts w:hint="default" w:ascii="Times New Roman" w:hAnsi="Times New Roman" w:eastAsia="仿宋" w:cs="Times New Roman"/>
                <w:bCs/>
                <w:kern w:val="0"/>
                <w:sz w:val="24"/>
                <w:szCs w:val="24"/>
              </w:rPr>
              <w:t>实际</w:t>
            </w:r>
          </w:p>
          <w:p>
            <w:pPr>
              <w:widowControl/>
              <w:jc w:val="center"/>
              <w:rPr>
                <w:rFonts w:hint="default" w:ascii="Times New Roman" w:hAnsi="Times New Roman" w:eastAsia="仿宋" w:cs="Times New Roman"/>
                <w:bCs/>
                <w:kern w:val="0"/>
                <w:sz w:val="24"/>
                <w:szCs w:val="24"/>
              </w:rPr>
            </w:pPr>
            <w:r>
              <w:rPr>
                <w:rFonts w:hint="default" w:ascii="Times New Roman" w:hAnsi="Times New Roman" w:eastAsia="仿宋" w:cs="Times New Roman"/>
                <w:bCs/>
                <w:kern w:val="0"/>
                <w:sz w:val="24"/>
                <w:szCs w:val="24"/>
              </w:rPr>
              <w:t>投资</w:t>
            </w:r>
          </w:p>
          <w:p>
            <w:pPr>
              <w:widowControl/>
              <w:jc w:val="center"/>
              <w:rPr>
                <w:rFonts w:hint="eastAsia" w:ascii="Times New Roman" w:hAnsi="Times New Roman" w:eastAsia="仿宋" w:cs="Times New Roman"/>
                <w:bCs/>
                <w:kern w:val="0"/>
                <w:sz w:val="24"/>
                <w:szCs w:val="24"/>
                <w:lang w:eastAsia="zh-CN"/>
              </w:rPr>
            </w:pPr>
            <w:r>
              <w:rPr>
                <w:rFonts w:hint="eastAsia" w:ascii="Times New Roman" w:hAnsi="Times New Roman" w:eastAsia="仿宋" w:cs="Times New Roman"/>
                <w:bCs/>
                <w:kern w:val="0"/>
                <w:sz w:val="24"/>
                <w:szCs w:val="24"/>
                <w:lang w:val="en-US" w:eastAsia="zh-CN"/>
              </w:rPr>
              <w:t>(</w:t>
            </w:r>
            <w:r>
              <w:rPr>
                <w:rFonts w:hint="default" w:ascii="Times New Roman" w:hAnsi="Times New Roman" w:eastAsia="仿宋" w:cs="Times New Roman"/>
                <w:bCs/>
                <w:kern w:val="0"/>
                <w:sz w:val="24"/>
                <w:szCs w:val="24"/>
              </w:rPr>
              <w:t>万元</w:t>
            </w:r>
            <w:r>
              <w:rPr>
                <w:rFonts w:hint="eastAsia" w:ascii="Times New Roman" w:hAnsi="Times New Roman" w:eastAsia="仿宋" w:cs="Times New Roman"/>
                <w:bCs/>
                <w:kern w:val="0"/>
                <w:sz w:val="24"/>
                <w:szCs w:val="24"/>
                <w:lang w:val="en-US" w:eastAsia="zh-CN"/>
              </w:rPr>
              <w:t>)</w:t>
            </w:r>
          </w:p>
        </w:tc>
        <w:tc>
          <w:tcPr>
            <w:tcW w:w="948"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bCs/>
                <w:kern w:val="0"/>
                <w:sz w:val="24"/>
                <w:szCs w:val="24"/>
              </w:rPr>
            </w:pPr>
            <w:r>
              <w:rPr>
                <w:rFonts w:hint="default" w:ascii="Times New Roman" w:hAnsi="Times New Roman" w:eastAsia="仿宋" w:cs="Times New Roman"/>
                <w:bCs/>
                <w:kern w:val="0"/>
                <w:sz w:val="24"/>
                <w:szCs w:val="24"/>
              </w:rPr>
              <w:t>投资</w:t>
            </w:r>
          </w:p>
          <w:p>
            <w:pPr>
              <w:widowControl/>
              <w:jc w:val="center"/>
              <w:rPr>
                <w:rFonts w:hint="default" w:ascii="Times New Roman" w:hAnsi="Times New Roman" w:eastAsia="仿宋" w:cs="Times New Roman"/>
                <w:bCs/>
                <w:kern w:val="0"/>
                <w:sz w:val="24"/>
                <w:szCs w:val="24"/>
              </w:rPr>
            </w:pPr>
            <w:r>
              <w:rPr>
                <w:rFonts w:hint="default" w:ascii="Times New Roman" w:hAnsi="Times New Roman" w:eastAsia="仿宋" w:cs="Times New Roman"/>
                <w:bCs/>
                <w:kern w:val="0"/>
                <w:sz w:val="24"/>
                <w:szCs w:val="24"/>
              </w:rPr>
              <w:t>概算</w:t>
            </w:r>
          </w:p>
          <w:p>
            <w:pPr>
              <w:widowControl/>
              <w:jc w:val="center"/>
              <w:rPr>
                <w:rFonts w:hint="default" w:ascii="Times New Roman" w:hAnsi="Times New Roman" w:eastAsia="仿宋" w:cs="Times New Roman"/>
                <w:bCs/>
                <w:kern w:val="0"/>
                <w:sz w:val="24"/>
                <w:szCs w:val="24"/>
              </w:rPr>
            </w:pPr>
            <w:r>
              <w:rPr>
                <w:rFonts w:hint="default" w:ascii="Times New Roman" w:hAnsi="Times New Roman" w:eastAsia="仿宋" w:cs="Times New Roman"/>
                <w:bCs/>
                <w:kern w:val="0"/>
                <w:sz w:val="24"/>
                <w:szCs w:val="24"/>
              </w:rPr>
              <w:t>控制率</w:t>
            </w:r>
          </w:p>
        </w:tc>
      </w:tr>
      <w:tr>
        <w:tblPrEx>
          <w:tblCellMar>
            <w:top w:w="0" w:type="dxa"/>
            <w:left w:w="108" w:type="dxa"/>
            <w:bottom w:w="0" w:type="dxa"/>
            <w:right w:w="108" w:type="dxa"/>
          </w:tblCellMar>
        </w:tblPrEx>
        <w:trPr>
          <w:trHeight w:val="177" w:hRule="atLeast"/>
          <w:jc w:val="center"/>
        </w:trPr>
        <w:tc>
          <w:tcPr>
            <w:tcW w:w="332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rPr>
            </w:pPr>
          </w:p>
        </w:tc>
        <w:tc>
          <w:tcPr>
            <w:tcW w:w="1106"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仿宋" w:cs="Times New Roman"/>
                <w:kern w:val="0"/>
                <w:sz w:val="24"/>
                <w:szCs w:val="24"/>
                <w:lang w:eastAsia="zh-CN"/>
              </w:rPr>
            </w:pPr>
            <w:r>
              <w:rPr>
                <w:rFonts w:hint="eastAsia" w:ascii="Times New Roman" w:hAnsi="Times New Roman" w:eastAsia="仿宋" w:cs="Times New Roman"/>
                <w:kern w:val="0"/>
                <w:sz w:val="24"/>
                <w:szCs w:val="24"/>
                <w:lang w:val="en-US" w:eastAsia="zh-CN"/>
              </w:rPr>
              <w:t>0</w:t>
            </w:r>
          </w:p>
        </w:tc>
        <w:tc>
          <w:tcPr>
            <w:tcW w:w="750" w:type="dxa"/>
            <w:tcBorders>
              <w:top w:val="nil"/>
              <w:left w:val="nil"/>
              <w:bottom w:val="single" w:color="auto" w:sz="4" w:space="0"/>
              <w:right w:val="single" w:color="auto" w:sz="4" w:space="0"/>
            </w:tcBorders>
            <w:noWrap w:val="0"/>
            <w:vAlign w:val="center"/>
          </w:tcPr>
          <w:p>
            <w:pPr>
              <w:widowControl/>
              <w:jc w:val="left"/>
              <w:rPr>
                <w:rFonts w:hint="eastAsia"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0</w:t>
            </w:r>
          </w:p>
        </w:tc>
        <w:tc>
          <w:tcPr>
            <w:tcW w:w="934" w:type="dxa"/>
            <w:tcBorders>
              <w:top w:val="nil"/>
              <w:left w:val="nil"/>
              <w:bottom w:val="single" w:color="auto" w:sz="4" w:space="0"/>
              <w:right w:val="single" w:color="auto" w:sz="4" w:space="0"/>
            </w:tcBorders>
            <w:noWrap w:val="0"/>
            <w:vAlign w:val="center"/>
          </w:tcPr>
          <w:p>
            <w:pPr>
              <w:widowControl/>
              <w:jc w:val="left"/>
              <w:rPr>
                <w:rFonts w:hint="eastAsia"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0</w:t>
            </w:r>
          </w:p>
        </w:tc>
        <w:tc>
          <w:tcPr>
            <w:tcW w:w="1050"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0</w:t>
            </w:r>
          </w:p>
        </w:tc>
        <w:tc>
          <w:tcPr>
            <w:tcW w:w="1009" w:type="dxa"/>
            <w:tcBorders>
              <w:top w:val="nil"/>
              <w:left w:val="nil"/>
              <w:bottom w:val="single" w:color="auto" w:sz="4" w:space="0"/>
              <w:right w:val="single" w:color="auto" w:sz="4" w:space="0"/>
            </w:tcBorders>
            <w:noWrap w:val="0"/>
            <w:vAlign w:val="center"/>
          </w:tcPr>
          <w:p>
            <w:pPr>
              <w:widowControl/>
              <w:jc w:val="left"/>
              <w:rPr>
                <w:rFonts w:hint="eastAsia"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0</w:t>
            </w:r>
          </w:p>
        </w:tc>
        <w:tc>
          <w:tcPr>
            <w:tcW w:w="948" w:type="dxa"/>
            <w:tcBorders>
              <w:top w:val="nil"/>
              <w:left w:val="nil"/>
              <w:bottom w:val="single" w:color="auto" w:sz="4" w:space="0"/>
              <w:right w:val="single" w:color="auto" w:sz="4" w:space="0"/>
            </w:tcBorders>
            <w:noWrap w:val="0"/>
            <w:vAlign w:val="center"/>
          </w:tcPr>
          <w:p>
            <w:pPr>
              <w:widowControl/>
              <w:jc w:val="left"/>
              <w:rPr>
                <w:rFonts w:hint="eastAsia"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0</w:t>
            </w:r>
          </w:p>
        </w:tc>
      </w:tr>
      <w:tr>
        <w:tblPrEx>
          <w:tblCellMar>
            <w:top w:w="0" w:type="dxa"/>
            <w:left w:w="108" w:type="dxa"/>
            <w:bottom w:w="0" w:type="dxa"/>
            <w:right w:w="108" w:type="dxa"/>
          </w:tblCellMar>
        </w:tblPrEx>
        <w:trPr>
          <w:trHeight w:val="979" w:hRule="atLeast"/>
          <w:jc w:val="center"/>
        </w:trPr>
        <w:tc>
          <w:tcPr>
            <w:tcW w:w="332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4"/>
                <w:szCs w:val="24"/>
              </w:rPr>
            </w:pPr>
            <w:r>
              <w:rPr>
                <w:rFonts w:hint="default" w:ascii="Times New Roman" w:hAnsi="Times New Roman" w:eastAsia="仿宋" w:cs="Times New Roman"/>
                <w:b/>
                <w:bCs/>
                <w:kern w:val="0"/>
                <w:sz w:val="24"/>
                <w:szCs w:val="24"/>
              </w:rPr>
              <w:t>厉行节约保障措施</w:t>
            </w:r>
          </w:p>
        </w:tc>
        <w:tc>
          <w:tcPr>
            <w:tcW w:w="5797" w:type="dxa"/>
            <w:gridSpan w:val="6"/>
            <w:tcBorders>
              <w:top w:val="single" w:color="auto" w:sz="4" w:space="0"/>
              <w:left w:val="nil"/>
              <w:bottom w:val="single" w:color="auto" w:sz="4" w:space="0"/>
              <w:right w:val="single" w:color="000000" w:sz="4" w:space="0"/>
            </w:tcBorders>
            <w:noWrap w:val="0"/>
            <w:vAlign w:val="center"/>
          </w:tcPr>
          <w:p>
            <w:pPr>
              <w:widowControl/>
              <w:jc w:val="center"/>
              <w:rPr>
                <w:rFonts w:hint="eastAsia" w:ascii="Times New Roman" w:hAnsi="Times New Roman" w:eastAsia="仿宋" w:cs="Times New Roman"/>
                <w:kern w:val="0"/>
                <w:sz w:val="24"/>
                <w:szCs w:val="24"/>
                <w:lang w:eastAsia="zh-CN"/>
              </w:rPr>
            </w:pPr>
          </w:p>
        </w:tc>
      </w:tr>
    </w:tbl>
    <w:p>
      <w:pPr>
        <w:widowControl/>
        <w:jc w:val="left"/>
        <w:rPr>
          <w:rFonts w:hint="default" w:ascii="Times New Roman" w:hAnsi="Times New Roman" w:eastAsia="仿宋" w:cs="Times New Roman"/>
          <w:kern w:val="0"/>
          <w:sz w:val="24"/>
          <w:szCs w:val="24"/>
        </w:rPr>
      </w:pPr>
    </w:p>
    <w:p>
      <w:pPr>
        <w:widowControl/>
        <w:ind w:firstLine="480" w:firstLineChars="200"/>
        <w:jc w:val="left"/>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说明：“项目支出”需要填报所有项目情况，包括业务工作项目、运行维护项目等；“公用经费”填报基本支出中的一般商品和服务支出。</w:t>
      </w:r>
    </w:p>
    <w:p>
      <w:pPr>
        <w:widowControl/>
        <w:spacing w:line="600" w:lineRule="exact"/>
        <w:jc w:val="left"/>
        <w:rPr>
          <w:rFonts w:hint="default" w:ascii="Times New Roman" w:hAnsi="Times New Roman" w:eastAsia="仿宋" w:cs="Times New Roman"/>
          <w:color w:val="000000"/>
          <w:sz w:val="24"/>
          <w:szCs w:val="24"/>
        </w:rPr>
      </w:pPr>
    </w:p>
    <w:sectPr>
      <w:footerReference r:id="rId3" w:type="default"/>
      <w:footerReference r:id="rId4" w:type="even"/>
      <w:pgSz w:w="11906" w:h="16838"/>
      <w:pgMar w:top="1701" w:right="1418" w:bottom="1417" w:left="1531" w:header="851" w:footer="992" w:gutter="0"/>
      <w:pgBorders>
        <w:top w:val="none" w:sz="0" w:space="0"/>
        <w:left w:val="none" w:sz="0" w:space="0"/>
        <w:bottom w:val="none" w:sz="0" w:space="0"/>
        <w:right w:val="none" w:sz="0" w:space="0"/>
      </w:pgBorders>
      <w:pgNumType w:start="25"/>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jc w:val="right"/>
    </w:pP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4"/>
      </w:rPr>
    </w:pPr>
    <w:r>
      <w:fldChar w:fldCharType="begin"/>
    </w:r>
    <w:r>
      <w:rPr>
        <w:rStyle w:val="14"/>
      </w:rPr>
      <w:instrText xml:space="preserve">PAGE  </w:instrText>
    </w:r>
    <w:r>
      <w:fldChar w:fldCharType="end"/>
    </w:r>
  </w:p>
  <w:p>
    <w:pPr>
      <w:pStyle w:val="9"/>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C290DD"/>
    <w:multiLevelType w:val="singleLevel"/>
    <w:tmpl w:val="E0C290DD"/>
    <w:lvl w:ilvl="0" w:tentative="0">
      <w:start w:val="5"/>
      <w:numFmt w:val="chineseCounting"/>
      <w:suff w:val="nothing"/>
      <w:lvlText w:val="%1、"/>
      <w:lvlJc w:val="left"/>
      <w:rPr>
        <w:rFonts w:hint="eastAsia"/>
      </w:rPr>
    </w:lvl>
  </w:abstractNum>
  <w:abstractNum w:abstractNumId="1">
    <w:nsid w:val="6013753B"/>
    <w:multiLevelType w:val="singleLevel"/>
    <w:tmpl w:val="6013753B"/>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oNotHyphenateCaps/>
  <w:drawingGridHorizontalSpacing w:val="105"/>
  <w:drawingGridVerticalSpacing w:val="156"/>
  <w:displayHorizontalDrawingGridEvery w:val="1"/>
  <w:displayVerticalDrawingGridEvery w:val="1"/>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4AB"/>
    <w:rsid w:val="0000298E"/>
    <w:rsid w:val="00002AE4"/>
    <w:rsid w:val="00031747"/>
    <w:rsid w:val="0003456A"/>
    <w:rsid w:val="00037035"/>
    <w:rsid w:val="000469BA"/>
    <w:rsid w:val="000516DC"/>
    <w:rsid w:val="00053F71"/>
    <w:rsid w:val="000552F3"/>
    <w:rsid w:val="00056B04"/>
    <w:rsid w:val="00070B5F"/>
    <w:rsid w:val="00072AEB"/>
    <w:rsid w:val="000747B8"/>
    <w:rsid w:val="00075715"/>
    <w:rsid w:val="00083406"/>
    <w:rsid w:val="00085A99"/>
    <w:rsid w:val="00087EA5"/>
    <w:rsid w:val="00091B80"/>
    <w:rsid w:val="00092609"/>
    <w:rsid w:val="000A6E3A"/>
    <w:rsid w:val="000B1FC2"/>
    <w:rsid w:val="000D6179"/>
    <w:rsid w:val="000E240C"/>
    <w:rsid w:val="000E35F0"/>
    <w:rsid w:val="000F21D6"/>
    <w:rsid w:val="000F61BE"/>
    <w:rsid w:val="000F73AE"/>
    <w:rsid w:val="001062E8"/>
    <w:rsid w:val="00112EB7"/>
    <w:rsid w:val="00114AFB"/>
    <w:rsid w:val="001167EB"/>
    <w:rsid w:val="00121B82"/>
    <w:rsid w:val="00122D73"/>
    <w:rsid w:val="0013478D"/>
    <w:rsid w:val="001415B7"/>
    <w:rsid w:val="00145A6A"/>
    <w:rsid w:val="0014663A"/>
    <w:rsid w:val="001536DE"/>
    <w:rsid w:val="00160267"/>
    <w:rsid w:val="0016425E"/>
    <w:rsid w:val="00167BE7"/>
    <w:rsid w:val="00180DA0"/>
    <w:rsid w:val="00181657"/>
    <w:rsid w:val="00182289"/>
    <w:rsid w:val="00190E24"/>
    <w:rsid w:val="00191FD7"/>
    <w:rsid w:val="0019209D"/>
    <w:rsid w:val="00197BA7"/>
    <w:rsid w:val="001A5697"/>
    <w:rsid w:val="001A64A0"/>
    <w:rsid w:val="001B465B"/>
    <w:rsid w:val="001C15DF"/>
    <w:rsid w:val="001C7486"/>
    <w:rsid w:val="001D65E5"/>
    <w:rsid w:val="001D6602"/>
    <w:rsid w:val="001E4F39"/>
    <w:rsid w:val="001E5B80"/>
    <w:rsid w:val="001E6BFE"/>
    <w:rsid w:val="001F3794"/>
    <w:rsid w:val="001F6D73"/>
    <w:rsid w:val="00205440"/>
    <w:rsid w:val="002102DB"/>
    <w:rsid w:val="002129C1"/>
    <w:rsid w:val="00214D7C"/>
    <w:rsid w:val="00221B76"/>
    <w:rsid w:val="00222E30"/>
    <w:rsid w:val="00225256"/>
    <w:rsid w:val="002305A2"/>
    <w:rsid w:val="00231C6E"/>
    <w:rsid w:val="00232F9D"/>
    <w:rsid w:val="0023666C"/>
    <w:rsid w:val="002367FF"/>
    <w:rsid w:val="00243D27"/>
    <w:rsid w:val="00254482"/>
    <w:rsid w:val="00261A82"/>
    <w:rsid w:val="0026227A"/>
    <w:rsid w:val="00273F87"/>
    <w:rsid w:val="00286A75"/>
    <w:rsid w:val="00291511"/>
    <w:rsid w:val="00292E06"/>
    <w:rsid w:val="002A1611"/>
    <w:rsid w:val="002A336C"/>
    <w:rsid w:val="002A3ED2"/>
    <w:rsid w:val="002A4788"/>
    <w:rsid w:val="002B12CB"/>
    <w:rsid w:val="002B1E16"/>
    <w:rsid w:val="002B2BEF"/>
    <w:rsid w:val="002B778F"/>
    <w:rsid w:val="002C064D"/>
    <w:rsid w:val="002D6D4A"/>
    <w:rsid w:val="002E1DF4"/>
    <w:rsid w:val="002F7643"/>
    <w:rsid w:val="00303890"/>
    <w:rsid w:val="003053A5"/>
    <w:rsid w:val="0031038E"/>
    <w:rsid w:val="003134F7"/>
    <w:rsid w:val="00313CA6"/>
    <w:rsid w:val="00317AB2"/>
    <w:rsid w:val="00324952"/>
    <w:rsid w:val="00332598"/>
    <w:rsid w:val="00341012"/>
    <w:rsid w:val="00342BE8"/>
    <w:rsid w:val="00344BD5"/>
    <w:rsid w:val="00344CA7"/>
    <w:rsid w:val="00345B18"/>
    <w:rsid w:val="00346169"/>
    <w:rsid w:val="003478B2"/>
    <w:rsid w:val="00351E0E"/>
    <w:rsid w:val="00362473"/>
    <w:rsid w:val="00362E31"/>
    <w:rsid w:val="00372621"/>
    <w:rsid w:val="00374987"/>
    <w:rsid w:val="0038212B"/>
    <w:rsid w:val="00383377"/>
    <w:rsid w:val="00383992"/>
    <w:rsid w:val="00392B58"/>
    <w:rsid w:val="00394ABB"/>
    <w:rsid w:val="003A4ACA"/>
    <w:rsid w:val="003A7FDD"/>
    <w:rsid w:val="003B23EB"/>
    <w:rsid w:val="003B2F4F"/>
    <w:rsid w:val="003B7FA2"/>
    <w:rsid w:val="003D4854"/>
    <w:rsid w:val="003E3CB2"/>
    <w:rsid w:val="003E52E4"/>
    <w:rsid w:val="00404BE5"/>
    <w:rsid w:val="00410AE1"/>
    <w:rsid w:val="00410FF6"/>
    <w:rsid w:val="00411330"/>
    <w:rsid w:val="00412456"/>
    <w:rsid w:val="00417BC1"/>
    <w:rsid w:val="0042330A"/>
    <w:rsid w:val="00427D9D"/>
    <w:rsid w:val="00431F52"/>
    <w:rsid w:val="00434B10"/>
    <w:rsid w:val="00446CFB"/>
    <w:rsid w:val="004506ED"/>
    <w:rsid w:val="004527DA"/>
    <w:rsid w:val="004561C6"/>
    <w:rsid w:val="004621CC"/>
    <w:rsid w:val="00464073"/>
    <w:rsid w:val="00473D54"/>
    <w:rsid w:val="00477B78"/>
    <w:rsid w:val="00481926"/>
    <w:rsid w:val="00482DA2"/>
    <w:rsid w:val="00483F92"/>
    <w:rsid w:val="004948B2"/>
    <w:rsid w:val="00496F6D"/>
    <w:rsid w:val="004A0757"/>
    <w:rsid w:val="004B09F8"/>
    <w:rsid w:val="004B56B4"/>
    <w:rsid w:val="004C2AEE"/>
    <w:rsid w:val="004D5F90"/>
    <w:rsid w:val="004E1AF5"/>
    <w:rsid w:val="004E2593"/>
    <w:rsid w:val="004E394D"/>
    <w:rsid w:val="004E6E44"/>
    <w:rsid w:val="004F4E0C"/>
    <w:rsid w:val="004F53C1"/>
    <w:rsid w:val="00505F55"/>
    <w:rsid w:val="00507BC7"/>
    <w:rsid w:val="00510B86"/>
    <w:rsid w:val="00536A21"/>
    <w:rsid w:val="005377C3"/>
    <w:rsid w:val="00542882"/>
    <w:rsid w:val="005438D0"/>
    <w:rsid w:val="0054486C"/>
    <w:rsid w:val="005473E0"/>
    <w:rsid w:val="0055022D"/>
    <w:rsid w:val="00550C9A"/>
    <w:rsid w:val="00553BA4"/>
    <w:rsid w:val="0057789D"/>
    <w:rsid w:val="00585BED"/>
    <w:rsid w:val="00587C92"/>
    <w:rsid w:val="005916AB"/>
    <w:rsid w:val="00591928"/>
    <w:rsid w:val="00592496"/>
    <w:rsid w:val="00593595"/>
    <w:rsid w:val="005A3424"/>
    <w:rsid w:val="005A662C"/>
    <w:rsid w:val="005A6E3C"/>
    <w:rsid w:val="005B70C2"/>
    <w:rsid w:val="005C488D"/>
    <w:rsid w:val="005C60E3"/>
    <w:rsid w:val="005C6D48"/>
    <w:rsid w:val="005C778B"/>
    <w:rsid w:val="005D5007"/>
    <w:rsid w:val="005D50CB"/>
    <w:rsid w:val="005E0ACC"/>
    <w:rsid w:val="005E0C80"/>
    <w:rsid w:val="005E63A3"/>
    <w:rsid w:val="005F1452"/>
    <w:rsid w:val="005F1576"/>
    <w:rsid w:val="005F247D"/>
    <w:rsid w:val="005F2E6C"/>
    <w:rsid w:val="005F7156"/>
    <w:rsid w:val="006024A8"/>
    <w:rsid w:val="0061181B"/>
    <w:rsid w:val="0061768E"/>
    <w:rsid w:val="00620930"/>
    <w:rsid w:val="00640E29"/>
    <w:rsid w:val="006412C9"/>
    <w:rsid w:val="00655F15"/>
    <w:rsid w:val="00661AED"/>
    <w:rsid w:val="0066304C"/>
    <w:rsid w:val="00664139"/>
    <w:rsid w:val="00666EBB"/>
    <w:rsid w:val="00671561"/>
    <w:rsid w:val="00672718"/>
    <w:rsid w:val="006769A7"/>
    <w:rsid w:val="00676BCC"/>
    <w:rsid w:val="0067774C"/>
    <w:rsid w:val="00682EDF"/>
    <w:rsid w:val="006858E7"/>
    <w:rsid w:val="00686123"/>
    <w:rsid w:val="00687554"/>
    <w:rsid w:val="00693448"/>
    <w:rsid w:val="00695008"/>
    <w:rsid w:val="006A3A89"/>
    <w:rsid w:val="006A6FDC"/>
    <w:rsid w:val="006C3E4B"/>
    <w:rsid w:val="006C5D54"/>
    <w:rsid w:val="006D0B0B"/>
    <w:rsid w:val="006D0B89"/>
    <w:rsid w:val="006E4E54"/>
    <w:rsid w:val="006F1419"/>
    <w:rsid w:val="00700CD4"/>
    <w:rsid w:val="00701DF4"/>
    <w:rsid w:val="00704174"/>
    <w:rsid w:val="00704536"/>
    <w:rsid w:val="0071201B"/>
    <w:rsid w:val="00717347"/>
    <w:rsid w:val="00723417"/>
    <w:rsid w:val="00726EB3"/>
    <w:rsid w:val="007349D4"/>
    <w:rsid w:val="00737891"/>
    <w:rsid w:val="00754120"/>
    <w:rsid w:val="00756B93"/>
    <w:rsid w:val="0076124E"/>
    <w:rsid w:val="007707CC"/>
    <w:rsid w:val="00770932"/>
    <w:rsid w:val="0077217D"/>
    <w:rsid w:val="00784182"/>
    <w:rsid w:val="00786728"/>
    <w:rsid w:val="00786A9F"/>
    <w:rsid w:val="00793BCC"/>
    <w:rsid w:val="007974AB"/>
    <w:rsid w:val="007A0A4C"/>
    <w:rsid w:val="007B039C"/>
    <w:rsid w:val="007B13FA"/>
    <w:rsid w:val="007B46F9"/>
    <w:rsid w:val="007B4DD3"/>
    <w:rsid w:val="007B4F12"/>
    <w:rsid w:val="007B57E2"/>
    <w:rsid w:val="007B6F8C"/>
    <w:rsid w:val="007C0768"/>
    <w:rsid w:val="007C536F"/>
    <w:rsid w:val="007D16E0"/>
    <w:rsid w:val="007D5CA1"/>
    <w:rsid w:val="007D637D"/>
    <w:rsid w:val="007E3B70"/>
    <w:rsid w:val="007F05A2"/>
    <w:rsid w:val="007F1ED1"/>
    <w:rsid w:val="007F7875"/>
    <w:rsid w:val="00800AE0"/>
    <w:rsid w:val="00827E67"/>
    <w:rsid w:val="00832102"/>
    <w:rsid w:val="00833FA8"/>
    <w:rsid w:val="008442A9"/>
    <w:rsid w:val="0084564C"/>
    <w:rsid w:val="00851F1E"/>
    <w:rsid w:val="008547F9"/>
    <w:rsid w:val="008662AB"/>
    <w:rsid w:val="00867DE4"/>
    <w:rsid w:val="00885497"/>
    <w:rsid w:val="008862A7"/>
    <w:rsid w:val="00892869"/>
    <w:rsid w:val="008B03AA"/>
    <w:rsid w:val="008B1FF5"/>
    <w:rsid w:val="008B33CC"/>
    <w:rsid w:val="008B3530"/>
    <w:rsid w:val="008D36D8"/>
    <w:rsid w:val="008D614F"/>
    <w:rsid w:val="008D7CE8"/>
    <w:rsid w:val="008E7DED"/>
    <w:rsid w:val="008F0E86"/>
    <w:rsid w:val="0090366D"/>
    <w:rsid w:val="00905011"/>
    <w:rsid w:val="00911DD8"/>
    <w:rsid w:val="00917770"/>
    <w:rsid w:val="00921D22"/>
    <w:rsid w:val="00921EF0"/>
    <w:rsid w:val="0094137E"/>
    <w:rsid w:val="00943B87"/>
    <w:rsid w:val="009442C5"/>
    <w:rsid w:val="0094685F"/>
    <w:rsid w:val="00956048"/>
    <w:rsid w:val="00961BF1"/>
    <w:rsid w:val="0096338E"/>
    <w:rsid w:val="009709F2"/>
    <w:rsid w:val="0097377E"/>
    <w:rsid w:val="0097487E"/>
    <w:rsid w:val="00977060"/>
    <w:rsid w:val="00980482"/>
    <w:rsid w:val="0098378E"/>
    <w:rsid w:val="00986F29"/>
    <w:rsid w:val="009901AD"/>
    <w:rsid w:val="00991EA4"/>
    <w:rsid w:val="009943A8"/>
    <w:rsid w:val="009947D3"/>
    <w:rsid w:val="009965AB"/>
    <w:rsid w:val="009A55AE"/>
    <w:rsid w:val="009B5011"/>
    <w:rsid w:val="009B5851"/>
    <w:rsid w:val="009C406D"/>
    <w:rsid w:val="009C5DDA"/>
    <w:rsid w:val="009D6DA7"/>
    <w:rsid w:val="009E02A8"/>
    <w:rsid w:val="009E265C"/>
    <w:rsid w:val="009E5A22"/>
    <w:rsid w:val="009F404C"/>
    <w:rsid w:val="00A00330"/>
    <w:rsid w:val="00A031DE"/>
    <w:rsid w:val="00A14698"/>
    <w:rsid w:val="00A15119"/>
    <w:rsid w:val="00A219F9"/>
    <w:rsid w:val="00A31FCC"/>
    <w:rsid w:val="00A36DBC"/>
    <w:rsid w:val="00A413AD"/>
    <w:rsid w:val="00A42F44"/>
    <w:rsid w:val="00A430F4"/>
    <w:rsid w:val="00A43B0D"/>
    <w:rsid w:val="00A44A41"/>
    <w:rsid w:val="00A50EDE"/>
    <w:rsid w:val="00A53396"/>
    <w:rsid w:val="00A57284"/>
    <w:rsid w:val="00A6409C"/>
    <w:rsid w:val="00A66B32"/>
    <w:rsid w:val="00A747A4"/>
    <w:rsid w:val="00A76E82"/>
    <w:rsid w:val="00A949AD"/>
    <w:rsid w:val="00AB11DB"/>
    <w:rsid w:val="00AC2C79"/>
    <w:rsid w:val="00AC3596"/>
    <w:rsid w:val="00AD0292"/>
    <w:rsid w:val="00AD09F4"/>
    <w:rsid w:val="00AD797A"/>
    <w:rsid w:val="00AE4204"/>
    <w:rsid w:val="00AF1354"/>
    <w:rsid w:val="00B04987"/>
    <w:rsid w:val="00B067B2"/>
    <w:rsid w:val="00B07A1C"/>
    <w:rsid w:val="00B12151"/>
    <w:rsid w:val="00B13F7B"/>
    <w:rsid w:val="00B1669E"/>
    <w:rsid w:val="00B21F2B"/>
    <w:rsid w:val="00B23A19"/>
    <w:rsid w:val="00B3064B"/>
    <w:rsid w:val="00B30E1F"/>
    <w:rsid w:val="00B32F56"/>
    <w:rsid w:val="00B5069E"/>
    <w:rsid w:val="00B54FA2"/>
    <w:rsid w:val="00B559AE"/>
    <w:rsid w:val="00B576D4"/>
    <w:rsid w:val="00B605B4"/>
    <w:rsid w:val="00B65994"/>
    <w:rsid w:val="00B718B5"/>
    <w:rsid w:val="00B7695F"/>
    <w:rsid w:val="00B80C73"/>
    <w:rsid w:val="00B824FB"/>
    <w:rsid w:val="00B8579B"/>
    <w:rsid w:val="00B85D54"/>
    <w:rsid w:val="00B86E61"/>
    <w:rsid w:val="00B90483"/>
    <w:rsid w:val="00B90FCE"/>
    <w:rsid w:val="00B9269A"/>
    <w:rsid w:val="00B93DBC"/>
    <w:rsid w:val="00BA21E0"/>
    <w:rsid w:val="00BA3557"/>
    <w:rsid w:val="00BB02A3"/>
    <w:rsid w:val="00BB7153"/>
    <w:rsid w:val="00BC70E4"/>
    <w:rsid w:val="00BD1277"/>
    <w:rsid w:val="00BD600A"/>
    <w:rsid w:val="00BE2E9A"/>
    <w:rsid w:val="00BF20DB"/>
    <w:rsid w:val="00BF73DD"/>
    <w:rsid w:val="00C0088E"/>
    <w:rsid w:val="00C02189"/>
    <w:rsid w:val="00C30FDC"/>
    <w:rsid w:val="00C319C9"/>
    <w:rsid w:val="00C33895"/>
    <w:rsid w:val="00C3680C"/>
    <w:rsid w:val="00C44C07"/>
    <w:rsid w:val="00C4612E"/>
    <w:rsid w:val="00C54E49"/>
    <w:rsid w:val="00C573B5"/>
    <w:rsid w:val="00C60E03"/>
    <w:rsid w:val="00C62F43"/>
    <w:rsid w:val="00C63B42"/>
    <w:rsid w:val="00C63D5B"/>
    <w:rsid w:val="00C72DCE"/>
    <w:rsid w:val="00C935BF"/>
    <w:rsid w:val="00CA0A79"/>
    <w:rsid w:val="00CA163D"/>
    <w:rsid w:val="00CA33BA"/>
    <w:rsid w:val="00CB5102"/>
    <w:rsid w:val="00CC0774"/>
    <w:rsid w:val="00CC3862"/>
    <w:rsid w:val="00CC4ADD"/>
    <w:rsid w:val="00CD2BBD"/>
    <w:rsid w:val="00CD35A0"/>
    <w:rsid w:val="00CE087F"/>
    <w:rsid w:val="00CE0DAB"/>
    <w:rsid w:val="00CF75DD"/>
    <w:rsid w:val="00CF7E02"/>
    <w:rsid w:val="00D05ACC"/>
    <w:rsid w:val="00D14DCC"/>
    <w:rsid w:val="00D204FD"/>
    <w:rsid w:val="00D258CC"/>
    <w:rsid w:val="00D33649"/>
    <w:rsid w:val="00D4312A"/>
    <w:rsid w:val="00D4564B"/>
    <w:rsid w:val="00D464D3"/>
    <w:rsid w:val="00D52EEC"/>
    <w:rsid w:val="00D55FCF"/>
    <w:rsid w:val="00D60B6C"/>
    <w:rsid w:val="00D62E84"/>
    <w:rsid w:val="00D65095"/>
    <w:rsid w:val="00D809C7"/>
    <w:rsid w:val="00D903B2"/>
    <w:rsid w:val="00D90B0C"/>
    <w:rsid w:val="00D927CA"/>
    <w:rsid w:val="00DA1E2C"/>
    <w:rsid w:val="00DB79CE"/>
    <w:rsid w:val="00DD1471"/>
    <w:rsid w:val="00DD1B35"/>
    <w:rsid w:val="00DE04EC"/>
    <w:rsid w:val="00DE1D58"/>
    <w:rsid w:val="00DE53FD"/>
    <w:rsid w:val="00DF0050"/>
    <w:rsid w:val="00DF192B"/>
    <w:rsid w:val="00DF3708"/>
    <w:rsid w:val="00DF422E"/>
    <w:rsid w:val="00E04C58"/>
    <w:rsid w:val="00E07FE4"/>
    <w:rsid w:val="00E1178C"/>
    <w:rsid w:val="00E12865"/>
    <w:rsid w:val="00E1598C"/>
    <w:rsid w:val="00E171D4"/>
    <w:rsid w:val="00E20D5A"/>
    <w:rsid w:val="00E2433A"/>
    <w:rsid w:val="00E275D0"/>
    <w:rsid w:val="00E35604"/>
    <w:rsid w:val="00E40FD3"/>
    <w:rsid w:val="00E43CFE"/>
    <w:rsid w:val="00E46D74"/>
    <w:rsid w:val="00E510E7"/>
    <w:rsid w:val="00E54080"/>
    <w:rsid w:val="00E55CDD"/>
    <w:rsid w:val="00E5799B"/>
    <w:rsid w:val="00E63F09"/>
    <w:rsid w:val="00E67C16"/>
    <w:rsid w:val="00E72030"/>
    <w:rsid w:val="00E774DF"/>
    <w:rsid w:val="00E7796F"/>
    <w:rsid w:val="00E80074"/>
    <w:rsid w:val="00E848A7"/>
    <w:rsid w:val="00E85548"/>
    <w:rsid w:val="00E9091A"/>
    <w:rsid w:val="00E94326"/>
    <w:rsid w:val="00E94979"/>
    <w:rsid w:val="00EA01AD"/>
    <w:rsid w:val="00EB0525"/>
    <w:rsid w:val="00EB0AF9"/>
    <w:rsid w:val="00EB20C3"/>
    <w:rsid w:val="00EC133C"/>
    <w:rsid w:val="00EC2A45"/>
    <w:rsid w:val="00EC73F5"/>
    <w:rsid w:val="00ED459B"/>
    <w:rsid w:val="00ED57CB"/>
    <w:rsid w:val="00F0324A"/>
    <w:rsid w:val="00F033A8"/>
    <w:rsid w:val="00F07FD8"/>
    <w:rsid w:val="00F15C5B"/>
    <w:rsid w:val="00F204D5"/>
    <w:rsid w:val="00F21B66"/>
    <w:rsid w:val="00F31077"/>
    <w:rsid w:val="00F3377F"/>
    <w:rsid w:val="00F34647"/>
    <w:rsid w:val="00F438FF"/>
    <w:rsid w:val="00F5082F"/>
    <w:rsid w:val="00F53D8C"/>
    <w:rsid w:val="00F5551B"/>
    <w:rsid w:val="00F55E48"/>
    <w:rsid w:val="00F62E20"/>
    <w:rsid w:val="00F631D3"/>
    <w:rsid w:val="00F647D2"/>
    <w:rsid w:val="00F64A66"/>
    <w:rsid w:val="00F67480"/>
    <w:rsid w:val="00F67A2E"/>
    <w:rsid w:val="00F7046B"/>
    <w:rsid w:val="00F71779"/>
    <w:rsid w:val="00F81E51"/>
    <w:rsid w:val="00F921CA"/>
    <w:rsid w:val="00F93C1A"/>
    <w:rsid w:val="00FA5A76"/>
    <w:rsid w:val="00FB0000"/>
    <w:rsid w:val="00FB5CB5"/>
    <w:rsid w:val="00FD03F6"/>
    <w:rsid w:val="00FD0E0D"/>
    <w:rsid w:val="00FD1260"/>
    <w:rsid w:val="00FD4154"/>
    <w:rsid w:val="00FD47E3"/>
    <w:rsid w:val="00FE15F4"/>
    <w:rsid w:val="00FE514A"/>
    <w:rsid w:val="00FF2FCA"/>
    <w:rsid w:val="00FF5CAC"/>
    <w:rsid w:val="02071BEC"/>
    <w:rsid w:val="051B0175"/>
    <w:rsid w:val="05C02ECE"/>
    <w:rsid w:val="070A7BEC"/>
    <w:rsid w:val="08787FAD"/>
    <w:rsid w:val="0A514680"/>
    <w:rsid w:val="0C762627"/>
    <w:rsid w:val="0D023860"/>
    <w:rsid w:val="0D990915"/>
    <w:rsid w:val="0E9E71BC"/>
    <w:rsid w:val="11F6593C"/>
    <w:rsid w:val="12A8228B"/>
    <w:rsid w:val="12DD0F9D"/>
    <w:rsid w:val="146305B3"/>
    <w:rsid w:val="14B24C82"/>
    <w:rsid w:val="1586332A"/>
    <w:rsid w:val="171E75EA"/>
    <w:rsid w:val="1A720B5E"/>
    <w:rsid w:val="1A9E4E53"/>
    <w:rsid w:val="1AC22C87"/>
    <w:rsid w:val="1DE87BFF"/>
    <w:rsid w:val="1F2F6521"/>
    <w:rsid w:val="2238422A"/>
    <w:rsid w:val="23C95407"/>
    <w:rsid w:val="243C3641"/>
    <w:rsid w:val="261C458B"/>
    <w:rsid w:val="2AC801FE"/>
    <w:rsid w:val="2D2D1A32"/>
    <w:rsid w:val="328D625E"/>
    <w:rsid w:val="32DA043D"/>
    <w:rsid w:val="33E56358"/>
    <w:rsid w:val="34700528"/>
    <w:rsid w:val="37BB3233"/>
    <w:rsid w:val="39B767BA"/>
    <w:rsid w:val="3A3640F7"/>
    <w:rsid w:val="3AED2CDF"/>
    <w:rsid w:val="3D015CBA"/>
    <w:rsid w:val="3E1C4108"/>
    <w:rsid w:val="40DC3727"/>
    <w:rsid w:val="42765961"/>
    <w:rsid w:val="42864708"/>
    <w:rsid w:val="43257511"/>
    <w:rsid w:val="435B63EA"/>
    <w:rsid w:val="45114421"/>
    <w:rsid w:val="46D4291E"/>
    <w:rsid w:val="480436C0"/>
    <w:rsid w:val="4BDE5236"/>
    <w:rsid w:val="4C7706EA"/>
    <w:rsid w:val="4D442987"/>
    <w:rsid w:val="4E1540E0"/>
    <w:rsid w:val="4FE362B3"/>
    <w:rsid w:val="50B9760A"/>
    <w:rsid w:val="50DC676B"/>
    <w:rsid w:val="51217AE6"/>
    <w:rsid w:val="551500E9"/>
    <w:rsid w:val="55984B98"/>
    <w:rsid w:val="55BA2F55"/>
    <w:rsid w:val="57C93873"/>
    <w:rsid w:val="5B3A0CAE"/>
    <w:rsid w:val="5BCA3A1A"/>
    <w:rsid w:val="5C276A31"/>
    <w:rsid w:val="5D1E43BE"/>
    <w:rsid w:val="5DA93676"/>
    <w:rsid w:val="5E4865EB"/>
    <w:rsid w:val="5FA33E97"/>
    <w:rsid w:val="627012F9"/>
    <w:rsid w:val="62A90727"/>
    <w:rsid w:val="643021F7"/>
    <w:rsid w:val="64B83E22"/>
    <w:rsid w:val="66FD39F4"/>
    <w:rsid w:val="673B332A"/>
    <w:rsid w:val="68700689"/>
    <w:rsid w:val="68A22984"/>
    <w:rsid w:val="6D7F6A3D"/>
    <w:rsid w:val="6FA44D7D"/>
    <w:rsid w:val="6FD241EE"/>
    <w:rsid w:val="750820A4"/>
    <w:rsid w:val="76CF43DC"/>
    <w:rsid w:val="79B90234"/>
    <w:rsid w:val="79EC27D3"/>
    <w:rsid w:val="7B5536B5"/>
    <w:rsid w:val="7D7065E1"/>
    <w:rsid w:val="7ED43428"/>
    <w:rsid w:val="7F0132A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qFormat="1" w:unhideWhenUsed="0"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qFormat="1" w:unhideWhenUsed="0" w:uiPriority="99" w:name="HTML Address"/>
    <w:lsdException w:qFormat="1" w:unhideWhenUsed="0" w:uiPriority="99" w:name="HTML Cite"/>
    <w:lsdException w:qFormat="1" w:unhideWhenUsed="0"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122"/>
    <w:qFormat/>
    <w:uiPriority w:val="99"/>
    <w:pPr>
      <w:widowControl/>
      <w:spacing w:before="100" w:beforeAutospacing="1" w:after="100" w:afterAutospacing="1"/>
      <w:jc w:val="left"/>
      <w:outlineLvl w:val="0"/>
    </w:pPr>
    <w:rPr>
      <w:rFonts w:ascii="宋体" w:hAnsi="宋体" w:cs="宋体"/>
      <w:kern w:val="36"/>
      <w:sz w:val="48"/>
      <w:szCs w:val="48"/>
    </w:rPr>
  </w:style>
  <w:style w:type="paragraph" w:styleId="3">
    <w:name w:val="heading 2"/>
    <w:basedOn w:val="1"/>
    <w:next w:val="1"/>
    <w:link w:val="126"/>
    <w:qFormat/>
    <w:uiPriority w:val="99"/>
    <w:pPr>
      <w:widowControl/>
      <w:spacing w:before="100" w:beforeAutospacing="1" w:after="100" w:afterAutospacing="1"/>
      <w:jc w:val="left"/>
      <w:outlineLvl w:val="1"/>
    </w:pPr>
    <w:rPr>
      <w:rFonts w:ascii="宋体" w:hAnsi="宋体" w:cs="宋体"/>
      <w:kern w:val="0"/>
      <w:sz w:val="36"/>
      <w:szCs w:val="36"/>
    </w:rPr>
  </w:style>
  <w:style w:type="paragraph" w:styleId="4">
    <w:name w:val="heading 3"/>
    <w:basedOn w:val="1"/>
    <w:next w:val="1"/>
    <w:link w:val="117"/>
    <w:qFormat/>
    <w:uiPriority w:val="99"/>
    <w:pPr>
      <w:widowControl/>
      <w:spacing w:before="100" w:beforeAutospacing="1" w:after="100" w:afterAutospacing="1"/>
      <w:jc w:val="left"/>
      <w:outlineLvl w:val="2"/>
    </w:pPr>
    <w:rPr>
      <w:rFonts w:ascii="宋体" w:hAnsi="宋体" w:cs="宋体"/>
      <w:kern w:val="0"/>
      <w:sz w:val="27"/>
      <w:szCs w:val="27"/>
    </w:rPr>
  </w:style>
  <w:style w:type="paragraph" w:styleId="5">
    <w:name w:val="heading 4"/>
    <w:basedOn w:val="1"/>
    <w:next w:val="1"/>
    <w:link w:val="125"/>
    <w:qFormat/>
    <w:uiPriority w:val="99"/>
    <w:pPr>
      <w:widowControl/>
      <w:spacing w:before="100" w:beforeAutospacing="1" w:after="100" w:afterAutospacing="1"/>
      <w:jc w:val="left"/>
      <w:outlineLvl w:val="3"/>
    </w:pPr>
    <w:rPr>
      <w:rFonts w:ascii="宋体" w:hAnsi="宋体" w:cs="宋体"/>
      <w:kern w:val="0"/>
      <w:sz w:val="24"/>
      <w:szCs w:val="24"/>
    </w:rPr>
  </w:style>
  <w:style w:type="paragraph" w:styleId="6">
    <w:name w:val="heading 5"/>
    <w:basedOn w:val="1"/>
    <w:next w:val="1"/>
    <w:link w:val="124"/>
    <w:qFormat/>
    <w:uiPriority w:val="99"/>
    <w:pPr>
      <w:widowControl/>
      <w:spacing w:before="100" w:beforeAutospacing="1" w:after="100" w:afterAutospacing="1"/>
      <w:jc w:val="left"/>
      <w:outlineLvl w:val="4"/>
    </w:pPr>
    <w:rPr>
      <w:rFonts w:ascii="宋体" w:hAnsi="宋体" w:cs="宋体"/>
      <w:kern w:val="0"/>
      <w:sz w:val="20"/>
      <w:szCs w:val="20"/>
    </w:rPr>
  </w:style>
  <w:style w:type="paragraph" w:styleId="7">
    <w:name w:val="heading 6"/>
    <w:basedOn w:val="1"/>
    <w:next w:val="1"/>
    <w:link w:val="119"/>
    <w:qFormat/>
    <w:uiPriority w:val="99"/>
    <w:pPr>
      <w:widowControl/>
      <w:spacing w:before="100" w:beforeAutospacing="1" w:after="100" w:afterAutospacing="1"/>
      <w:jc w:val="left"/>
      <w:outlineLvl w:val="5"/>
    </w:pPr>
    <w:rPr>
      <w:rFonts w:ascii="宋体" w:hAnsi="宋体" w:cs="宋体"/>
      <w:kern w:val="0"/>
      <w:sz w:val="15"/>
      <w:szCs w:val="15"/>
    </w:rPr>
  </w:style>
  <w:style w:type="character" w:default="1" w:styleId="13">
    <w:name w:val="Default Paragraph Font"/>
    <w:semiHidden/>
    <w:qFormat/>
    <w:uiPriority w:val="99"/>
  </w:style>
  <w:style w:type="table" w:default="1" w:styleId="12">
    <w:name w:val="Normal Table"/>
    <w:unhideWhenUsed/>
    <w:qFormat/>
    <w:uiPriority w:val="99"/>
    <w:tblPr>
      <w:tblCellMar>
        <w:top w:w="0" w:type="dxa"/>
        <w:left w:w="108" w:type="dxa"/>
        <w:bottom w:w="0" w:type="dxa"/>
        <w:right w:w="108" w:type="dxa"/>
      </w:tblCellMar>
    </w:tblPr>
  </w:style>
  <w:style w:type="paragraph" w:styleId="8">
    <w:name w:val="HTML Address"/>
    <w:basedOn w:val="1"/>
    <w:link w:val="120"/>
    <w:semiHidden/>
    <w:qFormat/>
    <w:uiPriority w:val="99"/>
    <w:pPr>
      <w:widowControl/>
      <w:jc w:val="left"/>
    </w:pPr>
    <w:rPr>
      <w:rFonts w:ascii="宋体" w:hAnsi="宋体" w:cs="宋体"/>
      <w:kern w:val="0"/>
      <w:sz w:val="24"/>
      <w:szCs w:val="24"/>
    </w:rPr>
  </w:style>
  <w:style w:type="paragraph" w:styleId="9">
    <w:name w:val="footer"/>
    <w:basedOn w:val="1"/>
    <w:link w:val="118"/>
    <w:qFormat/>
    <w:uiPriority w:val="99"/>
    <w:pPr>
      <w:tabs>
        <w:tab w:val="center" w:pos="4153"/>
        <w:tab w:val="right" w:pos="8306"/>
      </w:tabs>
      <w:snapToGrid w:val="0"/>
      <w:jc w:val="left"/>
    </w:pPr>
    <w:rPr>
      <w:sz w:val="18"/>
      <w:szCs w:val="18"/>
    </w:rPr>
  </w:style>
  <w:style w:type="paragraph" w:styleId="10">
    <w:name w:val="header"/>
    <w:basedOn w:val="1"/>
    <w:link w:val="123"/>
    <w:semiHidden/>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4">
    <w:name w:val="page number"/>
    <w:basedOn w:val="13"/>
    <w:qFormat/>
    <w:uiPriority w:val="0"/>
  </w:style>
  <w:style w:type="character" w:styleId="15">
    <w:name w:val="FollowedHyperlink"/>
    <w:basedOn w:val="13"/>
    <w:semiHidden/>
    <w:qFormat/>
    <w:uiPriority w:val="99"/>
    <w:rPr>
      <w:color w:val="auto"/>
      <w:u w:val="none"/>
    </w:rPr>
  </w:style>
  <w:style w:type="character" w:styleId="16">
    <w:name w:val="Emphasis"/>
    <w:basedOn w:val="13"/>
    <w:qFormat/>
    <w:uiPriority w:val="99"/>
  </w:style>
  <w:style w:type="character" w:styleId="17">
    <w:name w:val="Hyperlink"/>
    <w:basedOn w:val="13"/>
    <w:semiHidden/>
    <w:qFormat/>
    <w:uiPriority w:val="99"/>
    <w:rPr>
      <w:color w:val="auto"/>
      <w:u w:val="none"/>
    </w:rPr>
  </w:style>
  <w:style w:type="character" w:styleId="18">
    <w:name w:val="HTML Code"/>
    <w:basedOn w:val="13"/>
    <w:semiHidden/>
    <w:qFormat/>
    <w:uiPriority w:val="99"/>
    <w:rPr>
      <w:rFonts w:ascii="宋体" w:hAnsi="宋体" w:eastAsia="宋体" w:cs="宋体"/>
      <w:sz w:val="24"/>
      <w:szCs w:val="24"/>
    </w:rPr>
  </w:style>
  <w:style w:type="character" w:styleId="19">
    <w:name w:val="HTML Cite"/>
    <w:basedOn w:val="13"/>
    <w:semiHidden/>
    <w:qFormat/>
    <w:uiPriority w:val="99"/>
  </w:style>
  <w:style w:type="paragraph" w:customStyle="1" w:styleId="20">
    <w:name w:val="tipscontrol-btn"/>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1">
    <w:name w:val="tabmore"/>
    <w:basedOn w:val="1"/>
    <w:qFormat/>
    <w:uiPriority w:val="99"/>
    <w:pPr>
      <w:widowControl/>
      <w:spacing w:before="100" w:beforeAutospacing="1" w:after="100" w:afterAutospacing="1" w:line="450" w:lineRule="atLeast"/>
      <w:jc w:val="left"/>
    </w:pPr>
    <w:rPr>
      <w:rFonts w:ascii="宋体" w:hAnsi="宋体" w:cs="宋体"/>
      <w:kern w:val="0"/>
      <w:sz w:val="24"/>
      <w:szCs w:val="24"/>
    </w:rPr>
  </w:style>
  <w:style w:type="paragraph" w:customStyle="1" w:styleId="22">
    <w:name w:val="search"/>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3">
    <w:name w:val="xwsd"/>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4">
    <w:name w:val="zwgk_top"/>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5">
    <w:name w:val="btn02"/>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6">
    <w:name w:val="hdfw_top_titel"/>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7">
    <w:name w:val="gsgg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8">
    <w:name w:val="top_nav"/>
    <w:basedOn w:val="1"/>
    <w:qFormat/>
    <w:uiPriority w:val="99"/>
    <w:pPr>
      <w:widowControl/>
      <w:shd w:val="clear" w:color="auto" w:fill="CC1C1E"/>
      <w:spacing w:before="100" w:beforeAutospacing="1" w:after="100" w:afterAutospacing="1"/>
      <w:jc w:val="left"/>
    </w:pPr>
    <w:rPr>
      <w:rFonts w:ascii="宋体" w:hAnsi="宋体" w:cs="宋体"/>
      <w:kern w:val="0"/>
      <w:sz w:val="24"/>
      <w:szCs w:val="24"/>
    </w:rPr>
  </w:style>
  <w:style w:type="paragraph" w:customStyle="1" w:styleId="29">
    <w:name w:val="navmenu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30">
    <w:name w:val="fwym_top_titel"/>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31">
    <w:name w:val="zwgk_left_top"/>
    <w:basedOn w:val="1"/>
    <w:qFormat/>
    <w:uiPriority w:val="99"/>
    <w:pPr>
      <w:widowControl/>
      <w:spacing w:before="100" w:beforeAutospacing="1" w:after="100" w:afterAutospacing="1" w:line="495" w:lineRule="atLeast"/>
      <w:jc w:val="left"/>
    </w:pPr>
    <w:rPr>
      <w:rFonts w:ascii="宋体" w:hAnsi="宋体" w:cs="宋体"/>
      <w:b/>
      <w:bCs/>
      <w:color w:val="CC0000"/>
      <w:kern w:val="0"/>
    </w:rPr>
  </w:style>
  <w:style w:type="paragraph" w:customStyle="1" w:styleId="32">
    <w:name w:val="xwsd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33">
    <w:name w:val="rightnews1"/>
    <w:basedOn w:val="1"/>
    <w:qFormat/>
    <w:uiPriority w:val="99"/>
    <w:pPr>
      <w:widowControl/>
      <w:spacing w:before="100" w:beforeAutospacing="1" w:after="100" w:afterAutospacing="1"/>
      <w:ind w:left="180"/>
      <w:jc w:val="left"/>
    </w:pPr>
    <w:rPr>
      <w:rFonts w:ascii="宋体" w:hAnsi="宋体" w:cs="宋体"/>
      <w:kern w:val="0"/>
      <w:sz w:val="24"/>
      <w:szCs w:val="24"/>
    </w:rPr>
  </w:style>
  <w:style w:type="paragraph" w:customStyle="1" w:styleId="34">
    <w:name w:val="newspic"/>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35">
    <w:name w:val="grid1"/>
    <w:basedOn w:val="1"/>
    <w:qFormat/>
    <w:uiPriority w:val="99"/>
    <w:pPr>
      <w:widowControl/>
      <w:pBdr>
        <w:top w:val="single" w:color="DDDDDD" w:sz="6" w:space="2"/>
        <w:left w:val="single" w:color="DDDDDD" w:sz="6" w:space="2"/>
        <w:bottom w:val="single" w:color="DDDDDD" w:sz="6" w:space="2"/>
        <w:right w:val="single" w:color="DDDDDD" w:sz="6" w:space="2"/>
      </w:pBdr>
      <w:jc w:val="left"/>
    </w:pPr>
    <w:rPr>
      <w:rFonts w:ascii="宋体" w:hAnsi="宋体" w:cs="宋体"/>
      <w:kern w:val="0"/>
      <w:sz w:val="24"/>
      <w:szCs w:val="24"/>
    </w:rPr>
  </w:style>
  <w:style w:type="paragraph" w:customStyle="1" w:styleId="36">
    <w:name w:val="smooth-box"/>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37">
    <w:name w:val="bsfw_top_titel"/>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38">
    <w:name w:val="titlefon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39">
    <w:name w:val="cgray"/>
    <w:basedOn w:val="1"/>
    <w:qFormat/>
    <w:uiPriority w:val="99"/>
    <w:pPr>
      <w:widowControl/>
      <w:spacing w:before="100" w:beforeAutospacing="1" w:after="100" w:afterAutospacing="1"/>
      <w:jc w:val="left"/>
    </w:pPr>
    <w:rPr>
      <w:rFonts w:ascii="宋体" w:hAnsi="宋体" w:cs="宋体"/>
      <w:color w:val="999999"/>
      <w:kern w:val="0"/>
      <w:sz w:val="24"/>
      <w:szCs w:val="24"/>
    </w:rPr>
  </w:style>
  <w:style w:type="paragraph" w:customStyle="1" w:styleId="40">
    <w:name w:val="hj-easyread-sider-btns-item"/>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41">
    <w:name w:val="curren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42">
    <w:name w:val="tr_color_1"/>
    <w:basedOn w:val="1"/>
    <w:qFormat/>
    <w:uiPriority w:val="99"/>
    <w:pPr>
      <w:widowControl/>
      <w:shd w:val="clear" w:color="auto" w:fill="F7F7F7"/>
      <w:spacing w:before="100" w:beforeAutospacing="1" w:after="100" w:afterAutospacing="1"/>
      <w:jc w:val="left"/>
    </w:pPr>
    <w:rPr>
      <w:rFonts w:ascii="宋体" w:hAnsi="宋体" w:cs="宋体"/>
      <w:kern w:val="0"/>
      <w:sz w:val="24"/>
      <w:szCs w:val="24"/>
    </w:rPr>
  </w:style>
  <w:style w:type="paragraph" w:customStyle="1" w:styleId="43">
    <w:name w:val="gsgg"/>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44">
    <w:name w:val="zwgk_right_nav"/>
    <w:basedOn w:val="1"/>
    <w:qFormat/>
    <w:uiPriority w:val="99"/>
    <w:pPr>
      <w:widowControl/>
      <w:spacing w:before="100" w:beforeAutospacing="1" w:after="100" w:afterAutospacing="1" w:line="525" w:lineRule="atLeast"/>
      <w:jc w:val="center"/>
    </w:pPr>
    <w:rPr>
      <w:rFonts w:ascii="宋体" w:hAnsi="宋体" w:cs="宋体"/>
      <w:color w:val="AD0606"/>
      <w:kern w:val="0"/>
      <w:sz w:val="24"/>
      <w:szCs w:val="24"/>
    </w:rPr>
  </w:style>
  <w:style w:type="paragraph" w:customStyle="1" w:styleId="45">
    <w:name w:val="zwgk_nav_span"/>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46">
    <w:name w:val="xl_titel"/>
    <w:basedOn w:val="1"/>
    <w:qFormat/>
    <w:uiPriority w:val="99"/>
    <w:pPr>
      <w:widowControl/>
      <w:spacing w:before="100" w:beforeAutospacing="1" w:after="100" w:afterAutospacing="1"/>
      <w:jc w:val="left"/>
    </w:pPr>
    <w:rPr>
      <w:rFonts w:ascii="宋体" w:hAnsi="宋体" w:cs="宋体"/>
      <w:kern w:val="0"/>
      <w:sz w:val="36"/>
      <w:szCs w:val="36"/>
    </w:rPr>
  </w:style>
  <w:style w:type="paragraph" w:customStyle="1" w:styleId="47">
    <w:name w:val="hj-easyread-icons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48">
    <w:name w:val="newslist_red"/>
    <w:basedOn w:val="1"/>
    <w:qFormat/>
    <w:uiPriority w:val="99"/>
    <w:pPr>
      <w:widowControl/>
      <w:pBdr>
        <w:bottom w:val="single" w:color="CC0000" w:sz="12" w:space="0"/>
      </w:pBdr>
      <w:spacing w:before="100" w:beforeAutospacing="1" w:after="100" w:afterAutospacing="1" w:line="525" w:lineRule="atLeast"/>
      <w:jc w:val="center"/>
    </w:pPr>
    <w:rPr>
      <w:rFonts w:ascii="宋体" w:hAnsi="宋体" w:cs="宋体"/>
      <w:color w:val="AD0606"/>
      <w:kern w:val="0"/>
    </w:rPr>
  </w:style>
  <w:style w:type="paragraph" w:customStyle="1" w:styleId="49">
    <w:name w:val="smooth-lf"/>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0">
    <w:name w:val="zwgk_nav2"/>
    <w:basedOn w:val="1"/>
    <w:qFormat/>
    <w:uiPriority w:val="99"/>
    <w:pPr>
      <w:widowControl/>
      <w:pBdr>
        <w:top w:val="single" w:color="CCCCCC" w:sz="6" w:space="0"/>
        <w:left w:val="single" w:color="CCCCCC" w:sz="6" w:space="0"/>
        <w:bottom w:val="single" w:color="CCCCCC" w:sz="6" w:space="0"/>
        <w:right w:val="single" w:color="CCCCCC" w:sz="6" w:space="0"/>
      </w:pBdr>
      <w:spacing w:before="100" w:beforeAutospacing="1" w:after="105" w:line="570" w:lineRule="atLeast"/>
      <w:jc w:val="left"/>
    </w:pPr>
    <w:rPr>
      <w:rFonts w:ascii="宋体" w:hAnsi="宋体" w:cs="宋体"/>
      <w:kern w:val="0"/>
      <w:sz w:val="24"/>
      <w:szCs w:val="24"/>
    </w:rPr>
  </w:style>
  <w:style w:type="paragraph" w:customStyle="1" w:styleId="51">
    <w:name w:val="line_3_solid"/>
    <w:basedOn w:val="1"/>
    <w:qFormat/>
    <w:uiPriority w:val="99"/>
    <w:pPr>
      <w:widowControl/>
      <w:pBdr>
        <w:left w:val="single" w:color="CCCCCC" w:sz="6" w:space="0"/>
        <w:bottom w:val="single" w:color="CCCCCC" w:sz="6" w:space="0"/>
        <w:right w:val="single" w:color="CCCCCC" w:sz="6" w:space="0"/>
      </w:pBdr>
      <w:spacing w:before="100" w:beforeAutospacing="1" w:after="100" w:afterAutospacing="1"/>
      <w:jc w:val="left"/>
    </w:pPr>
    <w:rPr>
      <w:rFonts w:ascii="宋体" w:hAnsi="宋体" w:cs="宋体"/>
      <w:kern w:val="0"/>
      <w:sz w:val="24"/>
      <w:szCs w:val="24"/>
    </w:rPr>
  </w:style>
  <w:style w:type="paragraph" w:customStyle="1" w:styleId="52">
    <w:name w:val="fb"/>
    <w:basedOn w:val="1"/>
    <w:qFormat/>
    <w:uiPriority w:val="99"/>
    <w:pPr>
      <w:widowControl/>
      <w:spacing w:before="100" w:beforeAutospacing="1" w:after="100" w:afterAutospacing="1"/>
      <w:jc w:val="left"/>
    </w:pPr>
    <w:rPr>
      <w:rFonts w:ascii="宋体" w:hAnsi="宋体" w:cs="宋体"/>
      <w:b/>
      <w:bCs/>
      <w:kern w:val="0"/>
      <w:sz w:val="24"/>
      <w:szCs w:val="24"/>
    </w:rPr>
  </w:style>
  <w:style w:type="paragraph" w:customStyle="1" w:styleId="53">
    <w:name w:val="main"/>
    <w:basedOn w:val="1"/>
    <w:qFormat/>
    <w:uiPriority w:val="99"/>
    <w:pPr>
      <w:widowControl/>
      <w:shd w:val="clear" w:color="auto" w:fill="EBE9EA"/>
      <w:spacing w:before="100" w:beforeAutospacing="1" w:after="100" w:afterAutospacing="1"/>
      <w:jc w:val="left"/>
    </w:pPr>
    <w:rPr>
      <w:rFonts w:ascii="宋体" w:hAnsi="宋体" w:cs="宋体"/>
      <w:kern w:val="0"/>
      <w:sz w:val="24"/>
      <w:szCs w:val="24"/>
    </w:rPr>
  </w:style>
  <w:style w:type="paragraph" w:customStyle="1" w:styleId="54">
    <w:name w:val="页脚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5">
    <w:name w:val="topinpu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6">
    <w:name w:val="line2"/>
    <w:basedOn w:val="1"/>
    <w:qFormat/>
    <w:uiPriority w:val="99"/>
    <w:pPr>
      <w:widowControl/>
      <w:pBdr>
        <w:bottom w:val="dotted" w:color="CCCCCC" w:sz="6" w:space="0"/>
      </w:pBdr>
      <w:spacing w:before="100" w:beforeAutospacing="1" w:after="100" w:afterAutospacing="1"/>
      <w:jc w:val="left"/>
    </w:pPr>
    <w:rPr>
      <w:rFonts w:ascii="宋体" w:hAnsi="宋体" w:cs="宋体"/>
      <w:kern w:val="0"/>
      <w:sz w:val="24"/>
      <w:szCs w:val="24"/>
    </w:rPr>
  </w:style>
  <w:style w:type="paragraph" w:customStyle="1" w:styleId="57">
    <w:name w:val="smooth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8">
    <w:name w:val="date1"/>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59">
    <w:name w:val="top_tab"/>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60">
    <w:name w:val="cf14"/>
    <w:basedOn w:val="1"/>
    <w:qFormat/>
    <w:uiPriority w:val="99"/>
    <w:pPr>
      <w:widowControl/>
      <w:spacing w:before="100" w:beforeAutospacing="1" w:after="100" w:afterAutospacing="1"/>
      <w:jc w:val="left"/>
    </w:pPr>
    <w:rPr>
      <w:rFonts w:ascii="宋体" w:hAnsi="宋体" w:cs="宋体"/>
      <w:kern w:val="0"/>
    </w:rPr>
  </w:style>
  <w:style w:type="paragraph" w:customStyle="1" w:styleId="61">
    <w:name w:val="zwgk_nav5"/>
    <w:basedOn w:val="1"/>
    <w:qFormat/>
    <w:uiPriority w:val="99"/>
    <w:pPr>
      <w:widowControl/>
      <w:pBdr>
        <w:top w:val="single" w:color="CCCCCC" w:sz="6" w:space="0"/>
        <w:left w:val="single" w:color="CCCCCC" w:sz="6" w:space="0"/>
        <w:bottom w:val="single" w:color="CCCCCC" w:sz="6" w:space="0"/>
        <w:right w:val="single" w:color="CCCCCC" w:sz="6" w:space="0"/>
      </w:pBdr>
      <w:spacing w:before="100" w:beforeAutospacing="1" w:after="105" w:line="570" w:lineRule="atLeast"/>
      <w:jc w:val="left"/>
    </w:pPr>
    <w:rPr>
      <w:rFonts w:ascii="宋体" w:hAnsi="宋体" w:cs="宋体"/>
      <w:kern w:val="0"/>
      <w:sz w:val="24"/>
      <w:szCs w:val="24"/>
    </w:rPr>
  </w:style>
  <w:style w:type="paragraph" w:customStyle="1" w:styleId="62">
    <w:name w:val="line_bottom_dotted"/>
    <w:basedOn w:val="1"/>
    <w:qFormat/>
    <w:uiPriority w:val="99"/>
    <w:pPr>
      <w:widowControl/>
      <w:pBdr>
        <w:bottom w:val="dotted" w:color="CCCCCC" w:sz="6" w:space="0"/>
      </w:pBdr>
      <w:spacing w:before="100" w:beforeAutospacing="1" w:after="100" w:afterAutospacing="1"/>
      <w:jc w:val="left"/>
    </w:pPr>
    <w:rPr>
      <w:rFonts w:ascii="宋体" w:hAnsi="宋体" w:cs="宋体"/>
      <w:kern w:val="0"/>
      <w:sz w:val="24"/>
      <w:szCs w:val="24"/>
    </w:rPr>
  </w:style>
  <w:style w:type="paragraph" w:customStyle="1" w:styleId="63">
    <w:name w:val="zwgk_right_nav1"/>
    <w:basedOn w:val="1"/>
    <w:qFormat/>
    <w:uiPriority w:val="99"/>
    <w:pPr>
      <w:widowControl/>
      <w:spacing w:before="100" w:beforeAutospacing="1" w:after="100" w:afterAutospacing="1" w:line="525" w:lineRule="atLeast"/>
      <w:jc w:val="center"/>
    </w:pPr>
    <w:rPr>
      <w:rFonts w:ascii="宋体" w:hAnsi="宋体" w:cs="宋体"/>
      <w:kern w:val="0"/>
      <w:sz w:val="24"/>
      <w:szCs w:val="24"/>
    </w:rPr>
  </w:style>
  <w:style w:type="paragraph" w:customStyle="1" w:styleId="64">
    <w:name w:val="rightline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65">
    <w:name w:val="line"/>
    <w:basedOn w:val="1"/>
    <w:qFormat/>
    <w:uiPriority w:val="99"/>
    <w:pPr>
      <w:widowControl/>
      <w:pBdr>
        <w:top w:val="single" w:color="CCCCCC" w:sz="6" w:space="0"/>
        <w:left w:val="single" w:color="CCCCCC" w:sz="6" w:space="0"/>
        <w:bottom w:val="single" w:color="CCCCCC" w:sz="6" w:space="0"/>
        <w:right w:val="single" w:color="CCCCCC" w:sz="6" w:space="0"/>
      </w:pBdr>
      <w:spacing w:before="100" w:beforeAutospacing="1" w:after="100" w:afterAutospacing="1"/>
      <w:jc w:val="left"/>
    </w:pPr>
    <w:rPr>
      <w:rFonts w:ascii="宋体" w:hAnsi="宋体" w:cs="宋体"/>
      <w:kern w:val="0"/>
      <w:sz w:val="24"/>
      <w:szCs w:val="24"/>
    </w:rPr>
  </w:style>
  <w:style w:type="paragraph" w:customStyle="1" w:styleId="66">
    <w:name w:val="页眉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67">
    <w:name w:val="newsconcent"/>
    <w:basedOn w:val="1"/>
    <w:qFormat/>
    <w:uiPriority w:val="99"/>
    <w:pPr>
      <w:widowControl/>
      <w:spacing w:before="150" w:after="100" w:afterAutospacing="1"/>
      <w:jc w:val="left"/>
    </w:pPr>
    <w:rPr>
      <w:rFonts w:ascii="宋体" w:hAnsi="宋体" w:cs="宋体"/>
      <w:kern w:val="0"/>
      <w:sz w:val="24"/>
      <w:szCs w:val="24"/>
    </w:rPr>
  </w:style>
  <w:style w:type="paragraph" w:customStyle="1" w:styleId="68">
    <w:name w:val="w9801"/>
    <w:basedOn w:val="1"/>
    <w:qFormat/>
    <w:uiPriority w:val="99"/>
    <w:pPr>
      <w:widowControl/>
      <w:jc w:val="left"/>
    </w:pPr>
    <w:rPr>
      <w:rFonts w:ascii="宋体" w:hAnsi="宋体" w:cs="宋体"/>
      <w:kern w:val="0"/>
      <w:sz w:val="24"/>
      <w:szCs w:val="24"/>
    </w:rPr>
  </w:style>
  <w:style w:type="paragraph" w:customStyle="1" w:styleId="69">
    <w:name w:val="line_bottom_red"/>
    <w:basedOn w:val="1"/>
    <w:qFormat/>
    <w:uiPriority w:val="99"/>
    <w:pPr>
      <w:widowControl/>
      <w:pBdr>
        <w:bottom w:val="single" w:color="CC0000" w:sz="12" w:space="0"/>
      </w:pBdr>
      <w:spacing w:before="100" w:beforeAutospacing="1" w:after="100" w:afterAutospacing="1"/>
      <w:jc w:val="left"/>
    </w:pPr>
    <w:rPr>
      <w:rFonts w:ascii="宋体" w:hAnsi="宋体" w:cs="宋体"/>
      <w:kern w:val="0"/>
      <w:sz w:val="24"/>
      <w:szCs w:val="24"/>
    </w:rPr>
  </w:style>
  <w:style w:type="paragraph" w:customStyle="1" w:styleId="70">
    <w:name w:val="w98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71">
    <w:name w:val="leftline"/>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72">
    <w:name w:val="bs_btn"/>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73">
    <w:name w:val="martop9"/>
    <w:basedOn w:val="1"/>
    <w:qFormat/>
    <w:uiPriority w:val="99"/>
    <w:pPr>
      <w:widowControl/>
      <w:spacing w:before="135" w:after="100" w:afterAutospacing="1"/>
      <w:jc w:val="left"/>
    </w:pPr>
    <w:rPr>
      <w:rFonts w:ascii="宋体" w:hAnsi="宋体" w:cs="宋体"/>
      <w:kern w:val="0"/>
      <w:sz w:val="24"/>
      <w:szCs w:val="24"/>
    </w:rPr>
  </w:style>
  <w:style w:type="paragraph" w:customStyle="1" w:styleId="74">
    <w:name w:val="smooth-box1"/>
    <w:basedOn w:val="1"/>
    <w:qFormat/>
    <w:uiPriority w:val="99"/>
    <w:pPr>
      <w:widowControl/>
      <w:spacing w:before="100" w:beforeAutospacing="1" w:after="100" w:afterAutospacing="1"/>
      <w:jc w:val="right"/>
    </w:pPr>
    <w:rPr>
      <w:rFonts w:ascii="宋体" w:hAnsi="宋体" w:cs="宋体"/>
      <w:kern w:val="0"/>
      <w:sz w:val="24"/>
      <w:szCs w:val="24"/>
    </w:rPr>
  </w:style>
  <w:style w:type="paragraph" w:customStyle="1" w:styleId="75">
    <w:name w:val="bann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76">
    <w:name w:val="hj-easyread-contain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77">
    <w:name w:val="topbtn"/>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78">
    <w:name w:val="hj-easyread-sider-btns-item1"/>
    <w:basedOn w:val="1"/>
    <w:qFormat/>
    <w:uiPriority w:val="99"/>
    <w:pPr>
      <w:widowControl/>
      <w:spacing w:before="100" w:beforeAutospacing="1" w:after="100" w:afterAutospacing="1"/>
      <w:jc w:val="left"/>
    </w:pPr>
    <w:rPr>
      <w:rFonts w:ascii="宋体" w:hAnsi="宋体" w:cs="宋体"/>
      <w:vanish/>
      <w:kern w:val="0"/>
      <w:sz w:val="24"/>
      <w:szCs w:val="24"/>
    </w:rPr>
  </w:style>
  <w:style w:type="paragraph" w:customStyle="1" w:styleId="79">
    <w:name w:val="line_top_red"/>
    <w:basedOn w:val="1"/>
    <w:qFormat/>
    <w:uiPriority w:val="99"/>
    <w:pPr>
      <w:widowControl/>
      <w:pBdr>
        <w:top w:val="single" w:color="CC0000" w:sz="12" w:space="0"/>
      </w:pBdr>
      <w:spacing w:before="100" w:beforeAutospacing="1" w:after="100" w:afterAutospacing="1"/>
      <w:jc w:val="left"/>
    </w:pPr>
    <w:rPr>
      <w:rFonts w:ascii="宋体" w:hAnsi="宋体" w:cs="宋体"/>
      <w:kern w:val="0"/>
      <w:sz w:val="24"/>
      <w:szCs w:val="24"/>
    </w:rPr>
  </w:style>
  <w:style w:type="paragraph" w:customStyle="1" w:styleId="80">
    <w:name w:val="zwgk_nav4"/>
    <w:basedOn w:val="1"/>
    <w:qFormat/>
    <w:uiPriority w:val="99"/>
    <w:pPr>
      <w:widowControl/>
      <w:pBdr>
        <w:top w:val="single" w:color="CCCCCC" w:sz="6" w:space="0"/>
        <w:left w:val="single" w:color="CCCCCC" w:sz="6" w:space="0"/>
        <w:bottom w:val="single" w:color="CCCCCC" w:sz="6" w:space="0"/>
        <w:right w:val="single" w:color="CCCCCC" w:sz="6" w:space="0"/>
      </w:pBdr>
      <w:spacing w:before="100" w:beforeAutospacing="1" w:after="105" w:line="570" w:lineRule="atLeast"/>
      <w:jc w:val="left"/>
    </w:pPr>
    <w:rPr>
      <w:rFonts w:ascii="宋体" w:hAnsi="宋体" w:cs="宋体"/>
      <w:kern w:val="0"/>
      <w:sz w:val="24"/>
      <w:szCs w:val="24"/>
    </w:rPr>
  </w:style>
  <w:style w:type="paragraph" w:customStyle="1" w:styleId="81">
    <w:name w:val="navbox"/>
    <w:basedOn w:val="1"/>
    <w:qFormat/>
    <w:uiPriority w:val="99"/>
    <w:pPr>
      <w:widowControl/>
      <w:shd w:val="clear" w:color="auto" w:fill="CC1C1E"/>
      <w:spacing w:before="100" w:beforeAutospacing="1" w:after="100" w:afterAutospacing="1"/>
      <w:jc w:val="left"/>
    </w:pPr>
    <w:rPr>
      <w:rFonts w:ascii="宋体" w:hAnsi="宋体" w:cs="宋体"/>
      <w:kern w:val="0"/>
      <w:sz w:val="24"/>
      <w:szCs w:val="24"/>
    </w:rPr>
  </w:style>
  <w:style w:type="paragraph" w:customStyle="1" w:styleId="82">
    <w:name w:val="newsbox"/>
    <w:basedOn w:val="1"/>
    <w:qFormat/>
    <w:uiPriority w:val="99"/>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83">
    <w:name w:val="link_line"/>
    <w:basedOn w:val="1"/>
    <w:qFormat/>
    <w:uiPriority w:val="99"/>
    <w:pPr>
      <w:widowControl/>
      <w:pBdr>
        <w:bottom w:val="single" w:color="CC0000" w:sz="18" w:space="0"/>
      </w:pBdr>
      <w:spacing w:before="100" w:beforeAutospacing="1" w:after="100" w:afterAutospacing="1"/>
      <w:jc w:val="left"/>
    </w:pPr>
    <w:rPr>
      <w:rFonts w:ascii="宋体" w:hAnsi="宋体" w:cs="宋体"/>
      <w:kern w:val="0"/>
      <w:sz w:val="24"/>
      <w:szCs w:val="24"/>
    </w:rPr>
  </w:style>
  <w:style w:type="paragraph" w:customStyle="1" w:styleId="84">
    <w:name w:val="zwgk_nav3"/>
    <w:basedOn w:val="1"/>
    <w:qFormat/>
    <w:uiPriority w:val="99"/>
    <w:pPr>
      <w:widowControl/>
      <w:pBdr>
        <w:top w:val="single" w:color="CCCCCC" w:sz="6" w:space="0"/>
        <w:left w:val="single" w:color="CCCCCC" w:sz="6" w:space="0"/>
        <w:bottom w:val="single" w:color="CCCCCC" w:sz="6" w:space="0"/>
        <w:right w:val="single" w:color="CCCCCC" w:sz="6" w:space="0"/>
      </w:pBdr>
      <w:spacing w:before="100" w:beforeAutospacing="1" w:after="105" w:line="570" w:lineRule="atLeast"/>
      <w:jc w:val="left"/>
    </w:pPr>
    <w:rPr>
      <w:rFonts w:ascii="宋体" w:hAnsi="宋体" w:cs="宋体"/>
      <w:kern w:val="0"/>
      <w:sz w:val="24"/>
      <w:szCs w:val="24"/>
    </w:rPr>
  </w:style>
  <w:style w:type="paragraph" w:customStyle="1" w:styleId="85">
    <w:name w:val="nav"/>
    <w:basedOn w:val="1"/>
    <w:qFormat/>
    <w:uiPriority w:val="99"/>
    <w:pPr>
      <w:widowControl/>
      <w:spacing w:before="100" w:beforeAutospacing="1" w:after="100" w:afterAutospacing="1" w:line="495" w:lineRule="atLeast"/>
      <w:jc w:val="left"/>
    </w:pPr>
    <w:rPr>
      <w:rFonts w:ascii="宋体" w:hAnsi="宋体" w:cs="宋体"/>
      <w:color w:val="FFFFFF"/>
      <w:kern w:val="0"/>
    </w:rPr>
  </w:style>
  <w:style w:type="paragraph" w:customStyle="1" w:styleId="86">
    <w:name w:val="rightline"/>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87">
    <w:name w:val="zwgk_nav1"/>
    <w:basedOn w:val="1"/>
    <w:qFormat/>
    <w:uiPriority w:val="99"/>
    <w:pPr>
      <w:widowControl/>
      <w:pBdr>
        <w:top w:val="single" w:color="CCCCCC" w:sz="6" w:space="0"/>
        <w:left w:val="single" w:color="CCCCCC" w:sz="6" w:space="0"/>
        <w:bottom w:val="single" w:color="CCCCCC" w:sz="6" w:space="0"/>
        <w:right w:val="single" w:color="CCCCCC" w:sz="6" w:space="0"/>
      </w:pBdr>
      <w:spacing w:before="100" w:beforeAutospacing="1" w:after="105" w:line="570" w:lineRule="atLeast"/>
      <w:jc w:val="left"/>
    </w:pPr>
    <w:rPr>
      <w:rFonts w:ascii="宋体" w:hAnsi="宋体" w:cs="宋体"/>
      <w:kern w:val="0"/>
      <w:sz w:val="24"/>
      <w:szCs w:val="24"/>
    </w:rPr>
  </w:style>
  <w:style w:type="paragraph" w:customStyle="1" w:styleId="88">
    <w:name w:val="current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89">
    <w:name w:val="cwhite"/>
    <w:basedOn w:val="1"/>
    <w:qFormat/>
    <w:uiPriority w:val="99"/>
    <w:pPr>
      <w:widowControl/>
      <w:spacing w:before="100" w:beforeAutospacing="1" w:after="100" w:afterAutospacing="1"/>
      <w:jc w:val="left"/>
    </w:pPr>
    <w:rPr>
      <w:rFonts w:ascii="宋体" w:hAnsi="宋体" w:cs="宋体"/>
      <w:color w:val="FFFFFF"/>
      <w:kern w:val="0"/>
      <w:sz w:val="24"/>
      <w:szCs w:val="24"/>
    </w:rPr>
  </w:style>
  <w:style w:type="paragraph" w:customStyle="1" w:styleId="90">
    <w:name w:val="newstitle"/>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91">
    <w:name w:val="smooth"/>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92">
    <w:name w:val="zwgk"/>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93">
    <w:name w:val="returntotop-btn1"/>
    <w:basedOn w:val="1"/>
    <w:qFormat/>
    <w:uiPriority w:val="99"/>
    <w:pPr>
      <w:widowControl/>
      <w:spacing w:before="100" w:beforeAutospacing="1" w:after="100" w:afterAutospacing="1" w:line="17536" w:lineRule="exact"/>
      <w:jc w:val="left"/>
    </w:pPr>
    <w:rPr>
      <w:rFonts w:ascii="宋体" w:hAnsi="宋体" w:cs="宋体"/>
      <w:kern w:val="0"/>
      <w:sz w:val="2"/>
      <w:szCs w:val="2"/>
    </w:rPr>
  </w:style>
  <w:style w:type="paragraph" w:customStyle="1" w:styleId="94">
    <w:name w:val="navmenu"/>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95">
    <w:name w:val="date"/>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96">
    <w:name w:val="newslist_black"/>
    <w:basedOn w:val="1"/>
    <w:qFormat/>
    <w:uiPriority w:val="99"/>
    <w:pPr>
      <w:widowControl/>
      <w:spacing w:before="100" w:beforeAutospacing="1" w:after="100" w:afterAutospacing="1" w:line="525" w:lineRule="atLeast"/>
      <w:jc w:val="center"/>
    </w:pPr>
    <w:rPr>
      <w:rFonts w:ascii="宋体" w:hAnsi="宋体" w:cs="宋体"/>
      <w:kern w:val="0"/>
    </w:rPr>
  </w:style>
  <w:style w:type="paragraph" w:customStyle="1" w:styleId="97">
    <w:name w:val="returntotop-btn"/>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98">
    <w:name w:val="top_clear1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99">
    <w:name w:val="marleft20"/>
    <w:basedOn w:val="1"/>
    <w:qFormat/>
    <w:uiPriority w:val="99"/>
    <w:pPr>
      <w:widowControl/>
      <w:spacing w:before="100" w:beforeAutospacing="1" w:after="100" w:afterAutospacing="1"/>
      <w:ind w:left="300"/>
      <w:jc w:val="left"/>
    </w:pPr>
    <w:rPr>
      <w:rFonts w:ascii="宋体" w:hAnsi="宋体" w:cs="宋体"/>
      <w:kern w:val="0"/>
      <w:sz w:val="24"/>
      <w:szCs w:val="24"/>
    </w:rPr>
  </w:style>
  <w:style w:type="paragraph" w:customStyle="1" w:styleId="100">
    <w:name w:val="hj-easyread-icons"/>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01">
    <w:name w:val="zwgk_top_titel"/>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02">
    <w:name w:val="xl_con"/>
    <w:basedOn w:val="1"/>
    <w:qFormat/>
    <w:uiPriority w:val="99"/>
    <w:pPr>
      <w:widowControl/>
      <w:spacing w:before="100" w:beforeAutospacing="1" w:after="100" w:afterAutospacing="1" w:line="450" w:lineRule="atLeast"/>
      <w:jc w:val="left"/>
    </w:pPr>
    <w:rPr>
      <w:rFonts w:ascii="宋体" w:hAnsi="宋体" w:cs="宋体"/>
      <w:kern w:val="0"/>
    </w:rPr>
  </w:style>
  <w:style w:type="paragraph" w:customStyle="1" w:styleId="103">
    <w:name w:val="rightnews"/>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04">
    <w:name w:val="List Paragraph"/>
    <w:basedOn w:val="1"/>
    <w:qFormat/>
    <w:uiPriority w:val="99"/>
    <w:pPr>
      <w:ind w:firstLine="420" w:firstLineChars="200"/>
    </w:pPr>
  </w:style>
  <w:style w:type="paragraph" w:customStyle="1" w:styleId="105">
    <w:name w:val="vm"/>
    <w:basedOn w:val="1"/>
    <w:qFormat/>
    <w:uiPriority w:val="99"/>
    <w:pPr>
      <w:widowControl/>
      <w:spacing w:before="100" w:beforeAutospacing="1" w:after="100" w:afterAutospacing="1"/>
      <w:jc w:val="left"/>
      <w:textAlignment w:val="center"/>
    </w:pPr>
    <w:rPr>
      <w:rFonts w:ascii="宋体" w:hAnsi="宋体" w:cs="宋体"/>
      <w:kern w:val="0"/>
      <w:sz w:val="24"/>
      <w:szCs w:val="24"/>
    </w:rPr>
  </w:style>
  <w:style w:type="paragraph" w:customStyle="1" w:styleId="106">
    <w:name w:val="leftline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07">
    <w:name w:val="tipscontrol-btn1"/>
    <w:basedOn w:val="1"/>
    <w:qFormat/>
    <w:uiPriority w:val="99"/>
    <w:pPr>
      <w:widowControl/>
      <w:spacing w:before="100" w:beforeAutospacing="1" w:after="135" w:line="17536" w:lineRule="exact"/>
      <w:jc w:val="left"/>
    </w:pPr>
    <w:rPr>
      <w:rFonts w:ascii="宋体" w:hAnsi="宋体" w:cs="宋体"/>
      <w:kern w:val="0"/>
      <w:sz w:val="2"/>
      <w:szCs w:val="2"/>
    </w:rPr>
  </w:style>
  <w:style w:type="paragraph" w:customStyle="1" w:styleId="108">
    <w:name w:val="ymzc_top_titel"/>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09">
    <w:name w:val="tab"/>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10">
    <w:name w:val="hj-easyread-smoothtips"/>
    <w:basedOn w:val="1"/>
    <w:qFormat/>
    <w:uiPriority w:val="99"/>
    <w:pPr>
      <w:widowControl/>
      <w:shd w:val="clear" w:color="auto" w:fill="DEDEDE"/>
      <w:spacing w:before="100" w:beforeAutospacing="1" w:after="100" w:afterAutospacing="1"/>
      <w:jc w:val="left"/>
    </w:pPr>
    <w:rPr>
      <w:rFonts w:ascii="宋体" w:hAnsi="宋体" w:cs="宋体"/>
      <w:kern w:val="0"/>
      <w:sz w:val="24"/>
      <w:szCs w:val="24"/>
    </w:rPr>
  </w:style>
  <w:style w:type="paragraph" w:customStyle="1" w:styleId="111">
    <w:name w:val="bs_tab_bar"/>
    <w:basedOn w:val="1"/>
    <w:qFormat/>
    <w:uiPriority w:val="99"/>
    <w:pPr>
      <w:widowControl/>
      <w:spacing w:before="100" w:beforeAutospacing="1" w:after="100" w:afterAutospacing="1" w:line="465" w:lineRule="atLeast"/>
      <w:jc w:val="left"/>
    </w:pPr>
    <w:rPr>
      <w:rFonts w:ascii="宋体" w:hAnsi="宋体" w:cs="宋体"/>
      <w:b/>
      <w:bCs/>
      <w:color w:val="CC0000"/>
      <w:kern w:val="0"/>
    </w:rPr>
  </w:style>
  <w:style w:type="paragraph" w:customStyle="1" w:styleId="112">
    <w:name w:val="titlefont1"/>
    <w:basedOn w:val="1"/>
    <w:qFormat/>
    <w:uiPriority w:val="99"/>
    <w:pPr>
      <w:widowControl/>
      <w:spacing w:before="100" w:beforeAutospacing="1" w:after="100" w:afterAutospacing="1" w:line="525" w:lineRule="atLeast"/>
      <w:jc w:val="center"/>
    </w:pPr>
    <w:rPr>
      <w:rFonts w:ascii="宋体" w:hAnsi="宋体" w:cs="宋体"/>
      <w:color w:val="7A531C"/>
      <w:kern w:val="0"/>
      <w:sz w:val="18"/>
      <w:szCs w:val="18"/>
    </w:rPr>
  </w:style>
  <w:style w:type="paragraph" w:customStyle="1" w:styleId="113">
    <w:name w:val="newspic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14">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15">
    <w:name w:val="smooth-lf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16">
    <w:name w:val="search1"/>
    <w:basedOn w:val="1"/>
    <w:qFormat/>
    <w:uiPriority w:val="99"/>
    <w:pPr>
      <w:widowControl/>
      <w:spacing w:line="660" w:lineRule="atLeast"/>
      <w:jc w:val="left"/>
    </w:pPr>
    <w:rPr>
      <w:rFonts w:ascii="宋体" w:hAnsi="宋体" w:cs="宋体"/>
      <w:kern w:val="0"/>
      <w:sz w:val="24"/>
      <w:szCs w:val="24"/>
    </w:rPr>
  </w:style>
  <w:style w:type="character" w:customStyle="1" w:styleId="117">
    <w:name w:val="Heading 3 Char"/>
    <w:basedOn w:val="13"/>
    <w:link w:val="4"/>
    <w:qFormat/>
    <w:locked/>
    <w:uiPriority w:val="99"/>
    <w:rPr>
      <w:rFonts w:ascii="宋体" w:hAnsi="宋体" w:eastAsia="宋体" w:cs="宋体"/>
      <w:kern w:val="0"/>
      <w:sz w:val="27"/>
      <w:szCs w:val="27"/>
    </w:rPr>
  </w:style>
  <w:style w:type="character" w:customStyle="1" w:styleId="118">
    <w:name w:val="Footer Char"/>
    <w:basedOn w:val="13"/>
    <w:link w:val="9"/>
    <w:qFormat/>
    <w:locked/>
    <w:uiPriority w:val="99"/>
    <w:rPr>
      <w:sz w:val="18"/>
      <w:szCs w:val="18"/>
    </w:rPr>
  </w:style>
  <w:style w:type="character" w:customStyle="1" w:styleId="119">
    <w:name w:val="Heading 6 Char"/>
    <w:basedOn w:val="13"/>
    <w:link w:val="7"/>
    <w:qFormat/>
    <w:locked/>
    <w:uiPriority w:val="99"/>
    <w:rPr>
      <w:rFonts w:ascii="宋体" w:hAnsi="宋体" w:eastAsia="宋体" w:cs="宋体"/>
      <w:kern w:val="0"/>
      <w:sz w:val="15"/>
      <w:szCs w:val="15"/>
    </w:rPr>
  </w:style>
  <w:style w:type="character" w:customStyle="1" w:styleId="120">
    <w:name w:val="HTML Address Char"/>
    <w:basedOn w:val="13"/>
    <w:link w:val="8"/>
    <w:semiHidden/>
    <w:qFormat/>
    <w:locked/>
    <w:uiPriority w:val="99"/>
    <w:rPr>
      <w:rFonts w:ascii="宋体" w:hAnsi="宋体" w:eastAsia="宋体" w:cs="宋体"/>
      <w:kern w:val="0"/>
      <w:sz w:val="24"/>
      <w:szCs w:val="24"/>
    </w:rPr>
  </w:style>
  <w:style w:type="character" w:customStyle="1" w:styleId="121">
    <w:name w:val="hj-easyread-speakerprocesser-position-action-icon"/>
    <w:basedOn w:val="13"/>
    <w:qFormat/>
    <w:uiPriority w:val="99"/>
  </w:style>
  <w:style w:type="character" w:customStyle="1" w:styleId="122">
    <w:name w:val="Heading 1 Char"/>
    <w:basedOn w:val="13"/>
    <w:link w:val="2"/>
    <w:qFormat/>
    <w:locked/>
    <w:uiPriority w:val="99"/>
    <w:rPr>
      <w:rFonts w:ascii="宋体" w:hAnsi="宋体" w:eastAsia="宋体" w:cs="宋体"/>
      <w:kern w:val="36"/>
      <w:sz w:val="48"/>
      <w:szCs w:val="48"/>
    </w:rPr>
  </w:style>
  <w:style w:type="character" w:customStyle="1" w:styleId="123">
    <w:name w:val="Header Char"/>
    <w:basedOn w:val="13"/>
    <w:link w:val="10"/>
    <w:semiHidden/>
    <w:qFormat/>
    <w:locked/>
    <w:uiPriority w:val="99"/>
    <w:rPr>
      <w:sz w:val="18"/>
      <w:szCs w:val="18"/>
    </w:rPr>
  </w:style>
  <w:style w:type="character" w:customStyle="1" w:styleId="124">
    <w:name w:val="Heading 5 Char"/>
    <w:basedOn w:val="13"/>
    <w:link w:val="6"/>
    <w:qFormat/>
    <w:locked/>
    <w:uiPriority w:val="99"/>
    <w:rPr>
      <w:rFonts w:ascii="宋体" w:hAnsi="宋体" w:eastAsia="宋体" w:cs="宋体"/>
      <w:kern w:val="0"/>
      <w:sz w:val="20"/>
      <w:szCs w:val="20"/>
    </w:rPr>
  </w:style>
  <w:style w:type="character" w:customStyle="1" w:styleId="125">
    <w:name w:val="Heading 4 Char"/>
    <w:basedOn w:val="13"/>
    <w:link w:val="5"/>
    <w:qFormat/>
    <w:locked/>
    <w:uiPriority w:val="99"/>
    <w:rPr>
      <w:rFonts w:ascii="宋体" w:hAnsi="宋体" w:eastAsia="宋体" w:cs="宋体"/>
      <w:kern w:val="0"/>
      <w:sz w:val="24"/>
      <w:szCs w:val="24"/>
    </w:rPr>
  </w:style>
  <w:style w:type="character" w:customStyle="1" w:styleId="126">
    <w:name w:val="Heading 2 Char"/>
    <w:basedOn w:val="13"/>
    <w:link w:val="3"/>
    <w:qFormat/>
    <w:locked/>
    <w:uiPriority w:val="99"/>
    <w:rPr>
      <w:rFonts w:ascii="宋体" w:hAnsi="宋体" w:eastAsia="宋体" w:cs="宋体"/>
      <w:kern w:val="0"/>
      <w:sz w:val="36"/>
      <w:szCs w:val="36"/>
    </w:rPr>
  </w:style>
  <w:style w:type="character" w:customStyle="1" w:styleId="127">
    <w:name w:val="hj-easyread-speakerprocesser-position-action-icon1"/>
    <w:basedOn w:val="13"/>
    <w:qFormat/>
    <w:uiPriority w:val="99"/>
    <w:rPr>
      <w:shd w:val="clear" w:color="auto" w:fill="auto"/>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423</Words>
  <Characters>2413</Characters>
  <Lines>20</Lines>
  <Paragraphs>5</Paragraphs>
  <TotalTime>32</TotalTime>
  <ScaleCrop>false</ScaleCrop>
  <LinksUpToDate>false</LinksUpToDate>
  <CharactersWithSpaces>2831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2015-10-07T10:35:00Z</dcterms:created>
  <dc:creator>ASUS</dc:creator>
  <cp:lastModifiedBy>greatwall</cp:lastModifiedBy>
  <cp:lastPrinted>2020-08-05T11:32:00Z</cp:lastPrinted>
  <dcterms:modified xsi:type="dcterms:W3CDTF">2022-10-27T10:24:02Z</dcterms:modified>
  <dc:title>2014年度常德市社会劳动保险处</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